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97" w:type="pct"/>
        <w:tblInd w:w="6521" w:type="dxa"/>
        <w:tblCellMar>
          <w:left w:w="0" w:type="dxa"/>
          <w:right w:w="0" w:type="dxa"/>
        </w:tblCellMar>
        <w:tblLook w:val="04A0" w:firstRow="1" w:lastRow="0" w:firstColumn="1" w:lastColumn="0" w:noHBand="0" w:noVBand="1"/>
      </w:tblPr>
      <w:tblGrid>
        <w:gridCol w:w="283"/>
        <w:gridCol w:w="3968"/>
        <w:gridCol w:w="437"/>
      </w:tblGrid>
      <w:tr w:rsidR="005401AB" w:rsidRPr="005401AB" w14:paraId="350485AF" w14:textId="77777777" w:rsidTr="00694F18">
        <w:trPr>
          <w:gridBefore w:val="1"/>
          <w:gridAfter w:val="1"/>
          <w:wBefore w:w="302" w:type="pct"/>
          <w:wAfter w:w="466" w:type="pct"/>
        </w:trPr>
        <w:tc>
          <w:tcPr>
            <w:tcW w:w="4232" w:type="pct"/>
          </w:tcPr>
          <w:p w14:paraId="79AE767D" w14:textId="66FCBBF0" w:rsidR="00694F18" w:rsidRPr="005401AB" w:rsidRDefault="00694F18" w:rsidP="00DD0BFF">
            <w:pPr>
              <w:spacing w:line="276" w:lineRule="auto"/>
              <w:ind w:leftChars="0" w:left="1" w:firstLineChars="0"/>
              <w:rPr>
                <w:b/>
                <w:lang w:val="uk-UA" w:eastAsia="uk-UA"/>
              </w:rPr>
            </w:pPr>
            <w:r w:rsidRPr="005401AB">
              <w:rPr>
                <w:b/>
                <w:lang w:val="uk-UA"/>
              </w:rPr>
              <w:t>ЗАТВЕРДЖЕНО</w:t>
            </w:r>
            <w:r w:rsidRPr="005401AB">
              <w:rPr>
                <w:b/>
                <w:lang w:val="uk-UA" w:eastAsia="uk-UA"/>
              </w:rPr>
              <w:br/>
            </w:r>
            <w:r w:rsidRPr="005401AB">
              <w:rPr>
                <w:b/>
                <w:lang w:val="uk-UA"/>
              </w:rPr>
              <w:t>Наказ Міністерства освіти</w:t>
            </w:r>
            <w:r w:rsidRPr="005401AB">
              <w:rPr>
                <w:b/>
                <w:lang w:val="uk-UA" w:eastAsia="uk-UA"/>
              </w:rPr>
              <w:br/>
            </w:r>
            <w:r w:rsidRPr="005401AB">
              <w:rPr>
                <w:b/>
                <w:lang w:val="uk-UA"/>
              </w:rPr>
              <w:t>і науки України</w:t>
            </w:r>
            <w:r w:rsidRPr="005401AB">
              <w:rPr>
                <w:b/>
                <w:lang w:val="uk-UA" w:eastAsia="uk-UA"/>
              </w:rPr>
              <w:br/>
            </w:r>
            <w:r w:rsidR="000D0CC0" w:rsidRPr="000D0CC0">
              <w:rPr>
                <w:b/>
                <w:lang w:val="uk-UA"/>
              </w:rPr>
              <w:t>21 червня 2023 року № 775</w:t>
            </w:r>
          </w:p>
        </w:tc>
      </w:tr>
      <w:tr w:rsidR="0099485E" w:rsidRPr="005401AB" w14:paraId="73D5EB18" w14:textId="77777777" w:rsidTr="00694F18">
        <w:tblPrEx>
          <w:tblCellMar>
            <w:left w:w="108" w:type="dxa"/>
            <w:right w:w="108" w:type="dxa"/>
          </w:tblCellMar>
        </w:tblPrEx>
        <w:tc>
          <w:tcPr>
            <w:tcW w:w="5000" w:type="pct"/>
            <w:gridSpan w:val="3"/>
            <w:hideMark/>
          </w:tcPr>
          <w:p w14:paraId="09895030" w14:textId="77777777" w:rsidR="0099485E" w:rsidRPr="005401AB" w:rsidRDefault="0099485E">
            <w:pPr>
              <w:spacing w:line="240" w:lineRule="auto"/>
              <w:ind w:leftChars="0" w:left="2" w:hanging="2"/>
              <w:rPr>
                <w:b/>
                <w:lang w:val="uk-UA"/>
              </w:rPr>
            </w:pPr>
          </w:p>
        </w:tc>
      </w:tr>
    </w:tbl>
    <w:p w14:paraId="70A8F79E" w14:textId="77777777" w:rsidR="00CC211C" w:rsidRPr="005401AB" w:rsidRDefault="00CC211C">
      <w:pPr>
        <w:pBdr>
          <w:top w:val="nil"/>
          <w:left w:val="nil"/>
          <w:bottom w:val="nil"/>
          <w:right w:val="nil"/>
          <w:between w:val="nil"/>
        </w:pBdr>
        <w:spacing w:line="240" w:lineRule="auto"/>
        <w:ind w:left="0" w:hanging="2"/>
        <w:jc w:val="both"/>
        <w:rPr>
          <w:lang w:val="uk-UA"/>
        </w:rPr>
      </w:pPr>
    </w:p>
    <w:p w14:paraId="1D306B00" w14:textId="77777777" w:rsidR="0099485E" w:rsidRPr="005401AB" w:rsidRDefault="0099485E">
      <w:pPr>
        <w:pBdr>
          <w:top w:val="nil"/>
          <w:left w:val="nil"/>
          <w:bottom w:val="nil"/>
          <w:right w:val="nil"/>
          <w:between w:val="nil"/>
        </w:pBdr>
        <w:spacing w:line="240" w:lineRule="auto"/>
        <w:ind w:left="0" w:hanging="2"/>
        <w:jc w:val="right"/>
        <w:rPr>
          <w:b/>
          <w:lang w:val="uk-UA"/>
        </w:rPr>
      </w:pPr>
    </w:p>
    <w:p w14:paraId="6585A98D" w14:textId="40BC7644" w:rsidR="00CC211C" w:rsidRPr="005401AB" w:rsidRDefault="0099485E">
      <w:pPr>
        <w:pBdr>
          <w:top w:val="nil"/>
          <w:left w:val="nil"/>
          <w:bottom w:val="nil"/>
          <w:right w:val="nil"/>
          <w:between w:val="nil"/>
        </w:pBdr>
        <w:spacing w:line="240" w:lineRule="auto"/>
        <w:ind w:left="0" w:hanging="2"/>
        <w:jc w:val="right"/>
      </w:pPr>
      <w:r w:rsidRPr="005401AB">
        <w:rPr>
          <w:b/>
          <w:lang w:val="uk-UA"/>
        </w:rPr>
        <w:t>Форма № Н-1.01.</w:t>
      </w:r>
      <w:r w:rsidR="00443BC7" w:rsidRPr="005401AB">
        <w:rPr>
          <w:b/>
        </w:rPr>
        <w:t>4</w:t>
      </w:r>
      <w:r w:rsidRPr="005401AB">
        <w:rPr>
          <w:b/>
          <w:lang w:val="uk-UA"/>
        </w:rPr>
        <w:t>.</w:t>
      </w:r>
      <w:r w:rsidR="00443BC7" w:rsidRPr="005401AB">
        <w:rPr>
          <w:b/>
        </w:rPr>
        <w:t>1</w:t>
      </w:r>
    </w:p>
    <w:p w14:paraId="53C67C29" w14:textId="77777777" w:rsidR="00CC211C" w:rsidRPr="005401AB" w:rsidRDefault="00CC211C">
      <w:pPr>
        <w:pBdr>
          <w:top w:val="nil"/>
          <w:left w:val="nil"/>
          <w:bottom w:val="nil"/>
          <w:right w:val="nil"/>
          <w:between w:val="nil"/>
        </w:pBdr>
        <w:spacing w:line="240" w:lineRule="auto"/>
        <w:ind w:left="0" w:hanging="2"/>
        <w:jc w:val="right"/>
        <w:rPr>
          <w:lang w:val="uk-UA"/>
        </w:rPr>
      </w:pPr>
    </w:p>
    <w:p w14:paraId="009606FE" w14:textId="1911E399" w:rsidR="00CC211C" w:rsidRPr="005401AB" w:rsidRDefault="0099485E">
      <w:pPr>
        <w:pStyle w:val="3"/>
        <w:spacing w:before="0" w:after="0"/>
        <w:ind w:left="1" w:hanging="3"/>
        <w:jc w:val="center"/>
        <w:rPr>
          <w:lang w:val="uk-UA"/>
        </w:rPr>
      </w:pPr>
      <w:r w:rsidRPr="005401AB">
        <w:rPr>
          <w:lang w:val="uk-UA"/>
        </w:rPr>
        <w:t>Спеціальні умови</w:t>
      </w:r>
      <w:r w:rsidRPr="005401AB">
        <w:rPr>
          <w:lang w:val="uk-UA"/>
        </w:rPr>
        <w:br/>
        <w:t>щодо участі у конкурсному відборі під час вступу для здобуття вищої освіти</w:t>
      </w:r>
    </w:p>
    <w:tbl>
      <w:tblPr>
        <w:tblStyle w:val="a9"/>
        <w:tblW w:w="10500" w:type="dxa"/>
        <w:tblLayout w:type="fixed"/>
        <w:tblLook w:val="0000" w:firstRow="0" w:lastRow="0" w:firstColumn="0" w:lastColumn="0" w:noHBand="0" w:noVBand="0"/>
      </w:tblPr>
      <w:tblGrid>
        <w:gridCol w:w="5250"/>
        <w:gridCol w:w="5250"/>
      </w:tblGrid>
      <w:tr w:rsidR="00CC211C" w:rsidRPr="005401AB" w14:paraId="7FF02F0F" w14:textId="77777777">
        <w:tc>
          <w:tcPr>
            <w:tcW w:w="5250" w:type="dxa"/>
          </w:tcPr>
          <w:p w14:paraId="1696E670" w14:textId="77777777" w:rsidR="00CC211C" w:rsidRPr="005401AB" w:rsidRDefault="0099485E">
            <w:pPr>
              <w:pBdr>
                <w:top w:val="nil"/>
                <w:left w:val="nil"/>
                <w:bottom w:val="nil"/>
                <w:right w:val="nil"/>
                <w:between w:val="nil"/>
              </w:pBdr>
              <w:spacing w:line="240" w:lineRule="auto"/>
              <w:ind w:left="0" w:hanging="2"/>
              <w:jc w:val="center"/>
              <w:rPr>
                <w:lang w:val="uk-UA"/>
              </w:rPr>
            </w:pPr>
            <w:r w:rsidRPr="005401AB">
              <w:rPr>
                <w:lang w:val="uk-UA"/>
              </w:rPr>
              <w:t> </w:t>
            </w:r>
          </w:p>
        </w:tc>
        <w:tc>
          <w:tcPr>
            <w:tcW w:w="5250" w:type="dxa"/>
          </w:tcPr>
          <w:p w14:paraId="361317F4" w14:textId="77777777" w:rsidR="00CC211C" w:rsidRPr="005401AB" w:rsidRDefault="00CC211C">
            <w:pPr>
              <w:ind w:left="0" w:hanging="2"/>
              <w:rPr>
                <w:lang w:val="uk-UA"/>
              </w:rPr>
            </w:pPr>
          </w:p>
          <w:tbl>
            <w:tblPr>
              <w:tblStyle w:val="aa"/>
              <w:tblW w:w="5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4"/>
            </w:tblGrid>
            <w:tr w:rsidR="005401AB" w:rsidRPr="005401AB" w14:paraId="04F3E1D9" w14:textId="77777777">
              <w:tc>
                <w:tcPr>
                  <w:tcW w:w="5024" w:type="dxa"/>
                </w:tcPr>
                <w:p w14:paraId="158AB2A3" w14:textId="77777777" w:rsidR="00CC211C" w:rsidRPr="005401AB" w:rsidRDefault="0099485E">
                  <w:pPr>
                    <w:pBdr>
                      <w:top w:val="nil"/>
                      <w:left w:val="nil"/>
                      <w:bottom w:val="nil"/>
                      <w:right w:val="nil"/>
                      <w:between w:val="nil"/>
                    </w:pBdr>
                    <w:spacing w:line="240" w:lineRule="auto"/>
                    <w:ind w:left="0" w:hanging="2"/>
                    <w:jc w:val="center"/>
                    <w:rPr>
                      <w:lang w:val="uk-UA"/>
                    </w:rPr>
                  </w:pPr>
                  <w:r w:rsidRPr="005401AB">
                    <w:rPr>
                      <w:lang w:val="uk-UA"/>
                    </w:rPr>
                    <w:t> </w:t>
                  </w:r>
                </w:p>
              </w:tc>
            </w:tr>
          </w:tbl>
          <w:p w14:paraId="1B2BF203" w14:textId="77777777" w:rsidR="00CC211C" w:rsidRPr="005401AB" w:rsidRDefault="0099485E">
            <w:pPr>
              <w:pBdr>
                <w:top w:val="nil"/>
                <w:left w:val="nil"/>
                <w:bottom w:val="nil"/>
                <w:right w:val="nil"/>
                <w:between w:val="nil"/>
              </w:pBdr>
              <w:spacing w:line="240" w:lineRule="auto"/>
              <w:ind w:left="0" w:hanging="2"/>
              <w:jc w:val="center"/>
              <w:rPr>
                <w:lang w:val="uk-UA"/>
              </w:rPr>
            </w:pPr>
            <w:r w:rsidRPr="005401AB">
              <w:rPr>
                <w:b/>
                <w:sz w:val="20"/>
                <w:szCs w:val="20"/>
                <w:lang w:val="uk-UA"/>
              </w:rPr>
              <w:t>(</w:t>
            </w:r>
            <w:r w:rsidRPr="005401AB">
              <w:rPr>
                <w:sz w:val="20"/>
                <w:szCs w:val="20"/>
                <w:lang w:val="uk-UA"/>
              </w:rPr>
              <w:t>номер / шифр особової справи вступника</w:t>
            </w:r>
            <w:r w:rsidRPr="005401AB">
              <w:rPr>
                <w:b/>
                <w:sz w:val="20"/>
                <w:szCs w:val="20"/>
                <w:lang w:val="uk-UA"/>
              </w:rPr>
              <w:t>)</w:t>
            </w:r>
          </w:p>
        </w:tc>
      </w:tr>
    </w:tbl>
    <w:p w14:paraId="3C4A47B6" w14:textId="77777777" w:rsidR="00CC211C" w:rsidRPr="005401AB" w:rsidRDefault="00CC211C">
      <w:pPr>
        <w:ind w:left="0" w:hanging="2"/>
        <w:rPr>
          <w:lang w:val="uk-UA"/>
        </w:rPr>
      </w:pPr>
    </w:p>
    <w:tbl>
      <w:tblPr>
        <w:tblStyle w:val="ab"/>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1"/>
        <w:gridCol w:w="521"/>
        <w:gridCol w:w="4898"/>
        <w:gridCol w:w="521"/>
      </w:tblGrid>
      <w:tr w:rsidR="005401AB" w:rsidRPr="005401AB" w14:paraId="1498FD27" w14:textId="77777777" w:rsidTr="006F642A">
        <w:tc>
          <w:tcPr>
            <w:tcW w:w="5002" w:type="dxa"/>
            <w:gridSpan w:val="2"/>
          </w:tcPr>
          <w:p w14:paraId="08ADF54D" w14:textId="77777777" w:rsidR="00CC211C" w:rsidRPr="005401AB" w:rsidRDefault="0099485E">
            <w:pPr>
              <w:pBdr>
                <w:top w:val="nil"/>
                <w:left w:val="nil"/>
                <w:bottom w:val="nil"/>
                <w:right w:val="nil"/>
                <w:between w:val="nil"/>
              </w:pBdr>
              <w:spacing w:line="240" w:lineRule="auto"/>
              <w:ind w:left="0" w:hanging="2"/>
              <w:jc w:val="center"/>
              <w:rPr>
                <w:lang w:val="uk-UA"/>
              </w:rPr>
            </w:pPr>
            <w:r w:rsidRPr="005401AB">
              <w:rPr>
                <w:b/>
                <w:lang w:val="uk-UA"/>
              </w:rPr>
              <w:t>Категорії вступників</w:t>
            </w:r>
          </w:p>
        </w:tc>
        <w:tc>
          <w:tcPr>
            <w:tcW w:w="5419" w:type="dxa"/>
            <w:gridSpan w:val="2"/>
          </w:tcPr>
          <w:p w14:paraId="14A838D5" w14:textId="77777777" w:rsidR="00CC211C" w:rsidRPr="005401AB" w:rsidRDefault="0099485E">
            <w:pPr>
              <w:pBdr>
                <w:top w:val="nil"/>
                <w:left w:val="nil"/>
                <w:bottom w:val="nil"/>
                <w:right w:val="nil"/>
                <w:between w:val="nil"/>
              </w:pBdr>
              <w:spacing w:line="240" w:lineRule="auto"/>
              <w:ind w:left="0" w:hanging="2"/>
              <w:jc w:val="center"/>
              <w:rPr>
                <w:lang w:val="uk-UA"/>
              </w:rPr>
            </w:pPr>
            <w:r w:rsidRPr="005401AB">
              <w:rPr>
                <w:b/>
                <w:lang w:val="uk-UA"/>
              </w:rPr>
              <w:t>Спеціальні умови</w:t>
            </w:r>
          </w:p>
        </w:tc>
      </w:tr>
      <w:tr w:rsidR="00D55878" w:rsidRPr="005401AB" w14:paraId="73565525" w14:textId="77777777" w:rsidTr="006F642A">
        <w:tc>
          <w:tcPr>
            <w:tcW w:w="5002" w:type="dxa"/>
            <w:gridSpan w:val="2"/>
          </w:tcPr>
          <w:p w14:paraId="571490E4" w14:textId="1572D43C" w:rsidR="00D55878" w:rsidRPr="00D55878" w:rsidRDefault="00D55878">
            <w:pPr>
              <w:pBdr>
                <w:top w:val="nil"/>
                <w:left w:val="nil"/>
                <w:bottom w:val="nil"/>
                <w:right w:val="nil"/>
                <w:between w:val="nil"/>
              </w:pBdr>
              <w:spacing w:line="240" w:lineRule="auto"/>
              <w:ind w:left="0" w:hanging="2"/>
              <w:jc w:val="center"/>
              <w:rPr>
                <w:b/>
                <w:lang w:val="en-US"/>
              </w:rPr>
            </w:pPr>
            <w:r>
              <w:rPr>
                <w:b/>
                <w:lang w:val="en-US"/>
              </w:rPr>
              <w:t>1</w:t>
            </w:r>
          </w:p>
        </w:tc>
        <w:tc>
          <w:tcPr>
            <w:tcW w:w="5419" w:type="dxa"/>
            <w:gridSpan w:val="2"/>
          </w:tcPr>
          <w:p w14:paraId="4B07550B" w14:textId="7144BEA3" w:rsidR="00D55878" w:rsidRPr="00D55878" w:rsidRDefault="00D55878">
            <w:pPr>
              <w:pBdr>
                <w:top w:val="nil"/>
                <w:left w:val="nil"/>
                <w:bottom w:val="nil"/>
                <w:right w:val="nil"/>
                <w:between w:val="nil"/>
              </w:pBdr>
              <w:spacing w:line="240" w:lineRule="auto"/>
              <w:ind w:left="0" w:hanging="2"/>
              <w:jc w:val="center"/>
              <w:rPr>
                <w:b/>
                <w:lang w:val="en-US"/>
              </w:rPr>
            </w:pPr>
            <w:r>
              <w:rPr>
                <w:b/>
                <w:lang w:val="en-US"/>
              </w:rPr>
              <w:t>2</w:t>
            </w:r>
          </w:p>
        </w:tc>
      </w:tr>
      <w:tr w:rsidR="005401AB" w:rsidRPr="005401AB" w14:paraId="69A945E4" w14:textId="77777777" w:rsidTr="006F642A">
        <w:tc>
          <w:tcPr>
            <w:tcW w:w="4481" w:type="dxa"/>
            <w:vMerge w:val="restart"/>
          </w:tcPr>
          <w:p w14:paraId="4C34765E" w14:textId="77777777" w:rsidR="00CC211C" w:rsidRPr="005401AB" w:rsidRDefault="0099485E" w:rsidP="001F1F2F">
            <w:pPr>
              <w:pBdr>
                <w:top w:val="nil"/>
                <w:left w:val="nil"/>
                <w:bottom w:val="nil"/>
                <w:right w:val="nil"/>
                <w:between w:val="nil"/>
              </w:pBdr>
              <w:spacing w:line="240" w:lineRule="auto"/>
              <w:ind w:left="0" w:hanging="2"/>
              <w:rPr>
                <w:lang w:val="uk-UA"/>
              </w:rPr>
            </w:pPr>
            <w:r w:rsidRPr="005401AB">
              <w:rPr>
                <w:lang w:val="uk-UA"/>
              </w:rPr>
              <w:t xml:space="preserve">Особи з інвалідністю внаслідок війни відповідно до пунктів 10 - 14 статті 7 Закону України </w:t>
            </w:r>
            <w:r w:rsidR="001F1F2F" w:rsidRPr="005401AB">
              <w:rPr>
                <w:lang w:val="uk-UA"/>
              </w:rPr>
              <w:t>«</w:t>
            </w:r>
            <w:r w:rsidRPr="005401AB">
              <w:rPr>
                <w:lang w:val="uk-UA"/>
              </w:rPr>
              <w:t>Про статус ветеранів війни, гарантії їх соціального захисту</w:t>
            </w:r>
            <w:r w:rsidR="001F1F2F" w:rsidRPr="005401AB">
              <w:rPr>
                <w:lang w:val="uk-UA"/>
              </w:rPr>
              <w:t>»</w:t>
            </w:r>
          </w:p>
        </w:tc>
        <w:tc>
          <w:tcPr>
            <w:tcW w:w="521" w:type="dxa"/>
            <w:vMerge w:val="restart"/>
          </w:tcPr>
          <w:p w14:paraId="13ADCCA4" w14:textId="77777777" w:rsidR="00CC211C" w:rsidRPr="005401AB" w:rsidRDefault="0099485E">
            <w:pPr>
              <w:pBdr>
                <w:top w:val="nil"/>
                <w:left w:val="nil"/>
                <w:bottom w:val="nil"/>
                <w:right w:val="nil"/>
                <w:between w:val="nil"/>
              </w:pBdr>
              <w:spacing w:line="240" w:lineRule="auto"/>
              <w:ind w:left="0" w:hanging="2"/>
              <w:rPr>
                <w:lang w:val="uk-UA"/>
              </w:rPr>
            </w:pPr>
            <w:r w:rsidRPr="005401AB">
              <w:rPr>
                <w:lang w:val="uk-UA"/>
              </w:rPr>
              <w:t> </w:t>
            </w:r>
          </w:p>
        </w:tc>
        <w:tc>
          <w:tcPr>
            <w:tcW w:w="4898" w:type="dxa"/>
          </w:tcPr>
          <w:p w14:paraId="0D9076EA" w14:textId="77777777" w:rsidR="00CC211C" w:rsidRPr="005401AB" w:rsidRDefault="0099485E" w:rsidP="00694F18">
            <w:pPr>
              <w:pBdr>
                <w:top w:val="nil"/>
                <w:left w:val="nil"/>
                <w:bottom w:val="nil"/>
                <w:right w:val="nil"/>
                <w:between w:val="nil"/>
              </w:pBdr>
              <w:spacing w:line="240" w:lineRule="auto"/>
              <w:ind w:left="0" w:hanging="2"/>
              <w:rPr>
                <w:lang w:val="uk-UA"/>
              </w:rPr>
            </w:pPr>
            <w:r w:rsidRPr="005401AB">
              <w:rPr>
                <w:lang w:val="uk-UA"/>
              </w:rPr>
              <w:t>Проходження вступних випробувань у формі співбесіди або творчого конкурсу</w:t>
            </w:r>
          </w:p>
        </w:tc>
        <w:tc>
          <w:tcPr>
            <w:tcW w:w="521" w:type="dxa"/>
          </w:tcPr>
          <w:p w14:paraId="7A2E9F7C" w14:textId="77777777" w:rsidR="00CC211C" w:rsidRPr="005401AB" w:rsidRDefault="0099485E">
            <w:pPr>
              <w:pBdr>
                <w:top w:val="nil"/>
                <w:left w:val="nil"/>
                <w:bottom w:val="nil"/>
                <w:right w:val="nil"/>
                <w:between w:val="nil"/>
              </w:pBdr>
              <w:spacing w:line="240" w:lineRule="auto"/>
              <w:ind w:left="0" w:hanging="2"/>
              <w:rPr>
                <w:lang w:val="uk-UA"/>
              </w:rPr>
            </w:pPr>
            <w:r w:rsidRPr="005401AB">
              <w:rPr>
                <w:lang w:val="uk-UA"/>
              </w:rPr>
              <w:t> </w:t>
            </w:r>
          </w:p>
        </w:tc>
      </w:tr>
      <w:tr w:rsidR="005401AB" w:rsidRPr="005401AB" w14:paraId="0AD54EEB" w14:textId="77777777" w:rsidTr="006F642A">
        <w:tc>
          <w:tcPr>
            <w:tcW w:w="4481" w:type="dxa"/>
            <w:vMerge/>
          </w:tcPr>
          <w:p w14:paraId="1DEB20C2" w14:textId="77777777" w:rsidR="00CC211C" w:rsidRPr="005401AB" w:rsidRDefault="00CC211C">
            <w:pPr>
              <w:widowControl w:val="0"/>
              <w:pBdr>
                <w:top w:val="nil"/>
                <w:left w:val="nil"/>
                <w:bottom w:val="nil"/>
                <w:right w:val="nil"/>
                <w:between w:val="nil"/>
              </w:pBdr>
              <w:spacing w:line="276" w:lineRule="auto"/>
              <w:ind w:left="0" w:hanging="2"/>
              <w:rPr>
                <w:lang w:val="uk-UA"/>
              </w:rPr>
            </w:pPr>
          </w:p>
        </w:tc>
        <w:tc>
          <w:tcPr>
            <w:tcW w:w="521" w:type="dxa"/>
            <w:vMerge/>
          </w:tcPr>
          <w:p w14:paraId="60547FA7" w14:textId="77777777" w:rsidR="00CC211C" w:rsidRPr="005401AB" w:rsidRDefault="00CC211C">
            <w:pPr>
              <w:widowControl w:val="0"/>
              <w:pBdr>
                <w:top w:val="nil"/>
                <w:left w:val="nil"/>
                <w:bottom w:val="nil"/>
                <w:right w:val="nil"/>
                <w:between w:val="nil"/>
              </w:pBdr>
              <w:spacing w:line="276" w:lineRule="auto"/>
              <w:ind w:left="0" w:hanging="2"/>
              <w:rPr>
                <w:lang w:val="uk-UA"/>
              </w:rPr>
            </w:pPr>
          </w:p>
        </w:tc>
        <w:tc>
          <w:tcPr>
            <w:tcW w:w="4898" w:type="dxa"/>
          </w:tcPr>
          <w:p w14:paraId="24B206F5" w14:textId="77777777" w:rsidR="00CC211C" w:rsidRPr="005401AB" w:rsidRDefault="0099485E" w:rsidP="00694F18">
            <w:pPr>
              <w:pBdr>
                <w:top w:val="nil"/>
                <w:left w:val="nil"/>
                <w:bottom w:val="nil"/>
                <w:right w:val="nil"/>
                <w:between w:val="nil"/>
              </w:pBdr>
              <w:spacing w:line="240" w:lineRule="auto"/>
              <w:ind w:left="0" w:hanging="2"/>
              <w:rPr>
                <w:lang w:val="uk-UA"/>
              </w:rPr>
            </w:pPr>
            <w:r w:rsidRPr="005401AB">
              <w:rPr>
                <w:lang w:val="uk-UA"/>
              </w:rPr>
              <w:t>Зарахування за результатами позитивної оцінки співбесіди або творчого конкурсу на місця державного або регіонального замовлення (за умови участі у конкурсі на місце державного або регіонального замовлення)</w:t>
            </w:r>
          </w:p>
        </w:tc>
        <w:tc>
          <w:tcPr>
            <w:tcW w:w="521" w:type="dxa"/>
          </w:tcPr>
          <w:p w14:paraId="5CC19DF3" w14:textId="77777777" w:rsidR="00CC211C" w:rsidRPr="005401AB" w:rsidRDefault="0099485E">
            <w:pPr>
              <w:pBdr>
                <w:top w:val="nil"/>
                <w:left w:val="nil"/>
                <w:bottom w:val="nil"/>
                <w:right w:val="nil"/>
                <w:between w:val="nil"/>
              </w:pBdr>
              <w:spacing w:line="240" w:lineRule="auto"/>
              <w:ind w:left="0" w:hanging="2"/>
              <w:rPr>
                <w:lang w:val="uk-UA"/>
              </w:rPr>
            </w:pPr>
            <w:r w:rsidRPr="005401AB">
              <w:rPr>
                <w:lang w:val="uk-UA"/>
              </w:rPr>
              <w:t> </w:t>
            </w:r>
          </w:p>
        </w:tc>
      </w:tr>
      <w:tr w:rsidR="005401AB" w:rsidRPr="005401AB" w14:paraId="5B70A79B" w14:textId="77777777" w:rsidTr="006F642A">
        <w:tc>
          <w:tcPr>
            <w:tcW w:w="4481" w:type="dxa"/>
            <w:vMerge w:val="restart"/>
          </w:tcPr>
          <w:p w14:paraId="34414678" w14:textId="77777777" w:rsidR="00694F18" w:rsidRPr="005401AB" w:rsidRDefault="00694F18" w:rsidP="001F1F2F">
            <w:pPr>
              <w:pBdr>
                <w:top w:val="nil"/>
                <w:left w:val="nil"/>
                <w:bottom w:val="nil"/>
                <w:right w:val="nil"/>
                <w:between w:val="nil"/>
              </w:pBdr>
              <w:spacing w:line="240" w:lineRule="auto"/>
              <w:ind w:left="0" w:hanging="2"/>
              <w:rPr>
                <w:lang w:val="uk-UA"/>
              </w:rPr>
            </w:pPr>
            <w:r w:rsidRPr="005401AB">
              <w:rPr>
                <w:lang w:val="uk-UA"/>
              </w:rPr>
              <w:t xml:space="preserve">Особи, яким Законом України </w:t>
            </w:r>
            <w:r w:rsidR="001F1F2F" w:rsidRPr="005401AB">
              <w:rPr>
                <w:lang w:val="uk-UA"/>
              </w:rPr>
              <w:t>«</w:t>
            </w:r>
            <w:r w:rsidRPr="005401AB">
              <w:rPr>
                <w:lang w:val="uk-UA"/>
              </w:rPr>
              <w:t>Про статус і соціальний захист громадян, які постраждали внаслідок Чорнобильської катастрофи</w:t>
            </w:r>
            <w:r w:rsidR="001F1F2F" w:rsidRPr="005401AB">
              <w:rPr>
                <w:lang w:val="uk-UA"/>
              </w:rPr>
              <w:t>»</w:t>
            </w:r>
            <w:r w:rsidRPr="005401AB">
              <w:rPr>
                <w:lang w:val="uk-UA"/>
              </w:rPr>
              <w:t xml:space="preserve"> надано право на прийом без екзаменів до державних закладів вищої освіти за результатами співбесіди</w:t>
            </w:r>
          </w:p>
        </w:tc>
        <w:tc>
          <w:tcPr>
            <w:tcW w:w="521" w:type="dxa"/>
            <w:vMerge w:val="restart"/>
          </w:tcPr>
          <w:p w14:paraId="47392CCE" w14:textId="77777777" w:rsidR="00694F18" w:rsidRPr="005401AB" w:rsidRDefault="00694F18" w:rsidP="00694F18">
            <w:pPr>
              <w:pBdr>
                <w:top w:val="nil"/>
                <w:left w:val="nil"/>
                <w:bottom w:val="nil"/>
                <w:right w:val="nil"/>
                <w:between w:val="nil"/>
              </w:pBdr>
              <w:spacing w:line="240" w:lineRule="auto"/>
              <w:ind w:left="0" w:hanging="2"/>
              <w:rPr>
                <w:lang w:val="uk-UA"/>
              </w:rPr>
            </w:pPr>
            <w:r w:rsidRPr="005401AB">
              <w:rPr>
                <w:lang w:val="uk-UA"/>
              </w:rPr>
              <w:t> </w:t>
            </w:r>
          </w:p>
        </w:tc>
        <w:tc>
          <w:tcPr>
            <w:tcW w:w="4898" w:type="dxa"/>
          </w:tcPr>
          <w:p w14:paraId="7778B20D" w14:textId="77777777" w:rsidR="00694F18" w:rsidRPr="005401AB" w:rsidRDefault="00694F18" w:rsidP="00694F18">
            <w:pPr>
              <w:pBdr>
                <w:top w:val="nil"/>
                <w:left w:val="nil"/>
                <w:bottom w:val="nil"/>
                <w:right w:val="nil"/>
                <w:between w:val="nil"/>
              </w:pBdr>
              <w:spacing w:line="240" w:lineRule="auto"/>
              <w:ind w:left="0" w:hanging="2"/>
              <w:rPr>
                <w:lang w:val="uk-UA"/>
              </w:rPr>
            </w:pPr>
            <w:r w:rsidRPr="005401AB">
              <w:rPr>
                <w:lang w:val="uk-UA"/>
              </w:rPr>
              <w:t>Проходження вступних випробувань у формі співбесіди або творчого конкурсу</w:t>
            </w:r>
          </w:p>
        </w:tc>
        <w:tc>
          <w:tcPr>
            <w:tcW w:w="521" w:type="dxa"/>
          </w:tcPr>
          <w:p w14:paraId="6C53870B" w14:textId="77777777" w:rsidR="00694F18" w:rsidRPr="005401AB" w:rsidRDefault="00694F18" w:rsidP="00694F18">
            <w:pPr>
              <w:pBdr>
                <w:top w:val="nil"/>
                <w:left w:val="nil"/>
                <w:bottom w:val="nil"/>
                <w:right w:val="nil"/>
                <w:between w:val="nil"/>
              </w:pBdr>
              <w:spacing w:line="240" w:lineRule="auto"/>
              <w:ind w:left="0" w:hanging="2"/>
              <w:rPr>
                <w:lang w:val="uk-UA"/>
              </w:rPr>
            </w:pPr>
            <w:r w:rsidRPr="005401AB">
              <w:rPr>
                <w:lang w:val="uk-UA"/>
              </w:rPr>
              <w:t> </w:t>
            </w:r>
          </w:p>
        </w:tc>
      </w:tr>
      <w:tr w:rsidR="005401AB" w:rsidRPr="005401AB" w14:paraId="7DFAD890" w14:textId="77777777" w:rsidTr="006F642A">
        <w:tc>
          <w:tcPr>
            <w:tcW w:w="4481" w:type="dxa"/>
            <w:vMerge/>
          </w:tcPr>
          <w:p w14:paraId="0BDAD3D5" w14:textId="77777777" w:rsidR="00694F18" w:rsidRPr="005401AB" w:rsidRDefault="00694F18" w:rsidP="00694F18">
            <w:pPr>
              <w:widowControl w:val="0"/>
              <w:pBdr>
                <w:top w:val="nil"/>
                <w:left w:val="nil"/>
                <w:bottom w:val="nil"/>
                <w:right w:val="nil"/>
                <w:between w:val="nil"/>
              </w:pBdr>
              <w:spacing w:line="276" w:lineRule="auto"/>
              <w:ind w:left="0" w:hanging="2"/>
              <w:rPr>
                <w:lang w:val="uk-UA"/>
              </w:rPr>
            </w:pPr>
          </w:p>
        </w:tc>
        <w:tc>
          <w:tcPr>
            <w:tcW w:w="521" w:type="dxa"/>
            <w:vMerge/>
          </w:tcPr>
          <w:p w14:paraId="64FD42C8" w14:textId="77777777" w:rsidR="00694F18" w:rsidRPr="005401AB" w:rsidRDefault="00694F18" w:rsidP="00694F18">
            <w:pPr>
              <w:widowControl w:val="0"/>
              <w:pBdr>
                <w:top w:val="nil"/>
                <w:left w:val="nil"/>
                <w:bottom w:val="nil"/>
                <w:right w:val="nil"/>
                <w:between w:val="nil"/>
              </w:pBdr>
              <w:spacing w:line="276" w:lineRule="auto"/>
              <w:ind w:left="0" w:hanging="2"/>
              <w:rPr>
                <w:lang w:val="uk-UA"/>
              </w:rPr>
            </w:pPr>
          </w:p>
        </w:tc>
        <w:tc>
          <w:tcPr>
            <w:tcW w:w="4898" w:type="dxa"/>
          </w:tcPr>
          <w:p w14:paraId="62F7D988" w14:textId="77777777" w:rsidR="00694F18" w:rsidRPr="005401AB" w:rsidRDefault="00694F18" w:rsidP="00694F18">
            <w:pPr>
              <w:pBdr>
                <w:top w:val="nil"/>
                <w:left w:val="nil"/>
                <w:bottom w:val="nil"/>
                <w:right w:val="nil"/>
                <w:between w:val="nil"/>
              </w:pBdr>
              <w:spacing w:line="240" w:lineRule="auto"/>
              <w:ind w:left="0" w:hanging="2"/>
              <w:rPr>
                <w:lang w:val="uk-UA"/>
              </w:rPr>
            </w:pPr>
            <w:r w:rsidRPr="005401AB">
              <w:rPr>
                <w:lang w:val="uk-UA"/>
              </w:rPr>
              <w:t>Зарахування за результатами позитивної оцінки співбесіди або творчого конкурсу на місця державного або регіонального замовлення (за умови участі у конкурсі на місце державного або регіонального замовлення)</w:t>
            </w:r>
          </w:p>
        </w:tc>
        <w:tc>
          <w:tcPr>
            <w:tcW w:w="521" w:type="dxa"/>
          </w:tcPr>
          <w:p w14:paraId="59611F4E" w14:textId="77777777" w:rsidR="00694F18" w:rsidRPr="005401AB" w:rsidRDefault="00694F18" w:rsidP="00694F18">
            <w:pPr>
              <w:pBdr>
                <w:top w:val="nil"/>
                <w:left w:val="nil"/>
                <w:bottom w:val="nil"/>
                <w:right w:val="nil"/>
                <w:between w:val="nil"/>
              </w:pBdr>
              <w:spacing w:line="240" w:lineRule="auto"/>
              <w:ind w:left="0" w:hanging="2"/>
              <w:rPr>
                <w:lang w:val="uk-UA"/>
              </w:rPr>
            </w:pPr>
            <w:r w:rsidRPr="005401AB">
              <w:rPr>
                <w:lang w:val="uk-UA"/>
              </w:rPr>
              <w:t> </w:t>
            </w:r>
          </w:p>
        </w:tc>
      </w:tr>
      <w:tr w:rsidR="005401AB" w:rsidRPr="005401AB" w14:paraId="121F4DDA" w14:textId="77777777" w:rsidTr="006F642A">
        <w:tc>
          <w:tcPr>
            <w:tcW w:w="4481" w:type="dxa"/>
            <w:vMerge w:val="restart"/>
          </w:tcPr>
          <w:p w14:paraId="1B52F55D" w14:textId="77777777" w:rsidR="00694F18" w:rsidRPr="005401AB" w:rsidRDefault="00694F18" w:rsidP="00694F18">
            <w:pPr>
              <w:pBdr>
                <w:top w:val="nil"/>
                <w:left w:val="nil"/>
                <w:bottom w:val="nil"/>
                <w:right w:val="nil"/>
                <w:between w:val="nil"/>
              </w:pBdr>
              <w:spacing w:line="240" w:lineRule="auto"/>
              <w:ind w:left="0" w:hanging="2"/>
              <w:rPr>
                <w:lang w:val="uk-UA"/>
              </w:rPr>
            </w:pPr>
            <w:r w:rsidRPr="005401AB">
              <w:rPr>
                <w:lang w:val="uk-UA"/>
              </w:rPr>
              <w:t>Особи з інвалідністю, які неспроможні відвідувати заклад освіти (за наявності рекомендації на навчання від органів охорони здоров'я та соціального захисту населення)</w:t>
            </w:r>
          </w:p>
        </w:tc>
        <w:tc>
          <w:tcPr>
            <w:tcW w:w="521" w:type="dxa"/>
            <w:vMerge w:val="restart"/>
          </w:tcPr>
          <w:p w14:paraId="589BBDBC" w14:textId="77777777" w:rsidR="00694F18" w:rsidRPr="005401AB" w:rsidRDefault="00694F18" w:rsidP="00694F18">
            <w:pPr>
              <w:pBdr>
                <w:top w:val="nil"/>
                <w:left w:val="nil"/>
                <w:bottom w:val="nil"/>
                <w:right w:val="nil"/>
                <w:between w:val="nil"/>
              </w:pBdr>
              <w:spacing w:line="240" w:lineRule="auto"/>
              <w:ind w:left="0" w:hanging="2"/>
              <w:rPr>
                <w:lang w:val="uk-UA"/>
              </w:rPr>
            </w:pPr>
            <w:r w:rsidRPr="005401AB">
              <w:rPr>
                <w:lang w:val="uk-UA"/>
              </w:rPr>
              <w:t> </w:t>
            </w:r>
          </w:p>
        </w:tc>
        <w:tc>
          <w:tcPr>
            <w:tcW w:w="4898" w:type="dxa"/>
          </w:tcPr>
          <w:p w14:paraId="69CAC40A" w14:textId="77777777" w:rsidR="00694F18" w:rsidRPr="005401AB" w:rsidRDefault="00694F18" w:rsidP="00694F18">
            <w:pPr>
              <w:pBdr>
                <w:top w:val="nil"/>
                <w:left w:val="nil"/>
                <w:bottom w:val="nil"/>
                <w:right w:val="nil"/>
                <w:between w:val="nil"/>
              </w:pBdr>
              <w:spacing w:line="240" w:lineRule="auto"/>
              <w:ind w:left="0" w:hanging="2"/>
              <w:rPr>
                <w:lang w:val="uk-UA"/>
              </w:rPr>
            </w:pPr>
            <w:r w:rsidRPr="005401AB">
              <w:rPr>
                <w:lang w:val="uk-UA"/>
              </w:rPr>
              <w:t>Проходження вступних випробувань у формі співбесіди або творчого конкурсу</w:t>
            </w:r>
          </w:p>
        </w:tc>
        <w:tc>
          <w:tcPr>
            <w:tcW w:w="521" w:type="dxa"/>
          </w:tcPr>
          <w:p w14:paraId="22CF9F4F" w14:textId="77777777" w:rsidR="00694F18" w:rsidRPr="005401AB" w:rsidRDefault="00694F18" w:rsidP="00694F18">
            <w:pPr>
              <w:pBdr>
                <w:top w:val="nil"/>
                <w:left w:val="nil"/>
                <w:bottom w:val="nil"/>
                <w:right w:val="nil"/>
                <w:between w:val="nil"/>
              </w:pBdr>
              <w:spacing w:line="240" w:lineRule="auto"/>
              <w:ind w:left="0" w:hanging="2"/>
              <w:rPr>
                <w:lang w:val="uk-UA"/>
              </w:rPr>
            </w:pPr>
            <w:r w:rsidRPr="005401AB">
              <w:rPr>
                <w:lang w:val="uk-UA"/>
              </w:rPr>
              <w:t> </w:t>
            </w:r>
          </w:p>
        </w:tc>
      </w:tr>
      <w:tr w:rsidR="005401AB" w:rsidRPr="005401AB" w14:paraId="0E31E4E7" w14:textId="77777777" w:rsidTr="006F642A">
        <w:tc>
          <w:tcPr>
            <w:tcW w:w="4481" w:type="dxa"/>
            <w:vMerge/>
          </w:tcPr>
          <w:p w14:paraId="55FA67DB" w14:textId="77777777" w:rsidR="00694F18" w:rsidRPr="005401AB" w:rsidRDefault="00694F18" w:rsidP="00694F18">
            <w:pPr>
              <w:widowControl w:val="0"/>
              <w:pBdr>
                <w:top w:val="nil"/>
                <w:left w:val="nil"/>
                <w:bottom w:val="nil"/>
                <w:right w:val="nil"/>
                <w:between w:val="nil"/>
              </w:pBdr>
              <w:spacing w:line="276" w:lineRule="auto"/>
              <w:ind w:left="0" w:hanging="2"/>
              <w:rPr>
                <w:lang w:val="uk-UA"/>
              </w:rPr>
            </w:pPr>
          </w:p>
        </w:tc>
        <w:tc>
          <w:tcPr>
            <w:tcW w:w="521" w:type="dxa"/>
            <w:vMerge/>
          </w:tcPr>
          <w:p w14:paraId="026F173A" w14:textId="77777777" w:rsidR="00694F18" w:rsidRPr="005401AB" w:rsidRDefault="00694F18" w:rsidP="00694F18">
            <w:pPr>
              <w:widowControl w:val="0"/>
              <w:pBdr>
                <w:top w:val="nil"/>
                <w:left w:val="nil"/>
                <w:bottom w:val="nil"/>
                <w:right w:val="nil"/>
                <w:between w:val="nil"/>
              </w:pBdr>
              <w:spacing w:line="276" w:lineRule="auto"/>
              <w:ind w:left="0" w:hanging="2"/>
              <w:rPr>
                <w:lang w:val="uk-UA"/>
              </w:rPr>
            </w:pPr>
          </w:p>
        </w:tc>
        <w:tc>
          <w:tcPr>
            <w:tcW w:w="4898" w:type="dxa"/>
          </w:tcPr>
          <w:p w14:paraId="7ADAB74D" w14:textId="77777777" w:rsidR="00694F18" w:rsidRPr="005401AB" w:rsidRDefault="00694F18" w:rsidP="00694F18">
            <w:pPr>
              <w:pBdr>
                <w:top w:val="nil"/>
                <w:left w:val="nil"/>
                <w:bottom w:val="nil"/>
                <w:right w:val="nil"/>
                <w:between w:val="nil"/>
              </w:pBdr>
              <w:spacing w:line="240" w:lineRule="auto"/>
              <w:ind w:left="0" w:hanging="2"/>
              <w:rPr>
                <w:lang w:val="uk-UA"/>
              </w:rPr>
            </w:pPr>
            <w:r w:rsidRPr="005401AB">
              <w:rPr>
                <w:lang w:val="uk-UA"/>
              </w:rPr>
              <w:t>Зарахування за результатами позитивної оцінки співбесіди або творчого конкурсу на місця державного або регіонального замовлення (за умови участі у конкурсі на місце державного або регіонального замовлення)</w:t>
            </w:r>
          </w:p>
        </w:tc>
        <w:tc>
          <w:tcPr>
            <w:tcW w:w="521" w:type="dxa"/>
          </w:tcPr>
          <w:p w14:paraId="33B6FDC3" w14:textId="77777777" w:rsidR="00694F18" w:rsidRPr="005401AB" w:rsidRDefault="00694F18" w:rsidP="00694F18">
            <w:pPr>
              <w:pBdr>
                <w:top w:val="nil"/>
                <w:left w:val="nil"/>
                <w:bottom w:val="nil"/>
                <w:right w:val="nil"/>
                <w:between w:val="nil"/>
              </w:pBdr>
              <w:spacing w:line="240" w:lineRule="auto"/>
              <w:ind w:left="0" w:hanging="2"/>
              <w:rPr>
                <w:lang w:val="uk-UA"/>
              </w:rPr>
            </w:pPr>
            <w:r w:rsidRPr="005401AB">
              <w:rPr>
                <w:lang w:val="uk-UA"/>
              </w:rPr>
              <w:t> </w:t>
            </w:r>
          </w:p>
        </w:tc>
      </w:tr>
    </w:tbl>
    <w:p w14:paraId="7857F102" w14:textId="15BD21CE" w:rsidR="00F53130" w:rsidRDefault="00F53130" w:rsidP="00F53130">
      <w:pPr>
        <w:ind w:leftChars="0" w:left="0" w:firstLineChars="0" w:firstLine="0"/>
      </w:pPr>
    </w:p>
    <w:p w14:paraId="7C63A4FB" w14:textId="77777777" w:rsidR="00F53130" w:rsidRDefault="00F53130" w:rsidP="00F53130">
      <w:pPr>
        <w:ind w:leftChars="0" w:left="0" w:firstLineChars="0" w:firstLine="0"/>
      </w:pPr>
      <w:r>
        <w:br w:type="column"/>
      </w:r>
    </w:p>
    <w:tbl>
      <w:tblPr>
        <w:tblStyle w:val="ab"/>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1"/>
        <w:gridCol w:w="521"/>
        <w:gridCol w:w="4898"/>
        <w:gridCol w:w="521"/>
      </w:tblGrid>
      <w:tr w:rsidR="00D55878" w:rsidRPr="005401AB" w14:paraId="1BF25929" w14:textId="77777777" w:rsidTr="00520EBC">
        <w:tc>
          <w:tcPr>
            <w:tcW w:w="5002" w:type="dxa"/>
            <w:gridSpan w:val="2"/>
          </w:tcPr>
          <w:p w14:paraId="158500DB" w14:textId="34639B26" w:rsidR="00D55878" w:rsidRPr="005401AB" w:rsidRDefault="00D55878" w:rsidP="00D55878">
            <w:pPr>
              <w:widowControl w:val="0"/>
              <w:pBdr>
                <w:top w:val="nil"/>
                <w:left w:val="nil"/>
                <w:bottom w:val="nil"/>
                <w:right w:val="nil"/>
                <w:between w:val="nil"/>
              </w:pBdr>
              <w:spacing w:line="276" w:lineRule="auto"/>
              <w:ind w:left="0" w:hanging="2"/>
              <w:jc w:val="center"/>
              <w:rPr>
                <w:lang w:val="uk-UA"/>
              </w:rPr>
            </w:pPr>
            <w:r>
              <w:br w:type="column"/>
            </w:r>
            <w:r>
              <w:rPr>
                <w:b/>
                <w:lang w:val="en-US"/>
              </w:rPr>
              <w:t>1</w:t>
            </w:r>
          </w:p>
        </w:tc>
        <w:tc>
          <w:tcPr>
            <w:tcW w:w="5419" w:type="dxa"/>
            <w:gridSpan w:val="2"/>
          </w:tcPr>
          <w:p w14:paraId="5204C47A" w14:textId="73B038BE" w:rsidR="00D55878" w:rsidRPr="005401AB" w:rsidRDefault="00D55878" w:rsidP="00D55878">
            <w:pPr>
              <w:pBdr>
                <w:top w:val="nil"/>
                <w:left w:val="nil"/>
                <w:bottom w:val="nil"/>
                <w:right w:val="nil"/>
                <w:between w:val="nil"/>
              </w:pBdr>
              <w:spacing w:line="240" w:lineRule="auto"/>
              <w:ind w:left="0" w:hanging="2"/>
              <w:jc w:val="center"/>
              <w:rPr>
                <w:lang w:val="uk-UA"/>
              </w:rPr>
            </w:pPr>
            <w:r>
              <w:rPr>
                <w:b/>
                <w:lang w:val="en-US"/>
              </w:rPr>
              <w:t>2</w:t>
            </w:r>
          </w:p>
        </w:tc>
      </w:tr>
      <w:tr w:rsidR="00D55878" w:rsidRPr="005401AB" w14:paraId="7B4A4987" w14:textId="77777777" w:rsidTr="006F642A">
        <w:tc>
          <w:tcPr>
            <w:tcW w:w="4481" w:type="dxa"/>
            <w:vMerge w:val="restart"/>
          </w:tcPr>
          <w:p w14:paraId="2B273B33"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Особи, визнані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tc>
        <w:tc>
          <w:tcPr>
            <w:tcW w:w="521" w:type="dxa"/>
            <w:vMerge w:val="restart"/>
          </w:tcPr>
          <w:p w14:paraId="1B16DFBB"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 </w:t>
            </w:r>
          </w:p>
        </w:tc>
        <w:tc>
          <w:tcPr>
            <w:tcW w:w="4898" w:type="dxa"/>
          </w:tcPr>
          <w:p w14:paraId="5791D85B"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При вступі на основі ПЗСО, НРК5: проходження вступних випробувань у формі співбесіди замість результатів НМТ або творчого конкурсу або використання результатів ЗНО чи НМТ</w:t>
            </w:r>
          </w:p>
        </w:tc>
        <w:tc>
          <w:tcPr>
            <w:tcW w:w="521" w:type="dxa"/>
          </w:tcPr>
          <w:p w14:paraId="11260995"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 </w:t>
            </w:r>
          </w:p>
        </w:tc>
      </w:tr>
      <w:tr w:rsidR="00D55878" w:rsidRPr="005401AB" w14:paraId="56F2CE6F" w14:textId="77777777" w:rsidTr="006F642A">
        <w:tc>
          <w:tcPr>
            <w:tcW w:w="4481" w:type="dxa"/>
            <w:vMerge/>
          </w:tcPr>
          <w:p w14:paraId="6BF3CD48" w14:textId="77777777" w:rsidR="00D55878" w:rsidRPr="005401AB" w:rsidRDefault="00D55878" w:rsidP="00D55878">
            <w:pPr>
              <w:pBdr>
                <w:top w:val="nil"/>
                <w:left w:val="nil"/>
                <w:bottom w:val="nil"/>
                <w:right w:val="nil"/>
                <w:between w:val="nil"/>
              </w:pBdr>
              <w:spacing w:line="240" w:lineRule="auto"/>
              <w:ind w:left="0" w:hanging="2"/>
              <w:rPr>
                <w:lang w:val="uk-UA"/>
              </w:rPr>
            </w:pPr>
          </w:p>
        </w:tc>
        <w:tc>
          <w:tcPr>
            <w:tcW w:w="521" w:type="dxa"/>
            <w:vMerge/>
          </w:tcPr>
          <w:p w14:paraId="03172C23" w14:textId="77777777" w:rsidR="00D55878" w:rsidRPr="005401AB" w:rsidRDefault="00D55878" w:rsidP="00D55878">
            <w:pPr>
              <w:pBdr>
                <w:top w:val="nil"/>
                <w:left w:val="nil"/>
                <w:bottom w:val="nil"/>
                <w:right w:val="nil"/>
                <w:between w:val="nil"/>
              </w:pBdr>
              <w:spacing w:line="240" w:lineRule="auto"/>
              <w:ind w:left="0" w:hanging="2"/>
              <w:rPr>
                <w:lang w:val="uk-UA"/>
              </w:rPr>
            </w:pPr>
          </w:p>
        </w:tc>
        <w:tc>
          <w:tcPr>
            <w:tcW w:w="4898" w:type="dxa"/>
          </w:tcPr>
          <w:p w14:paraId="2B04DA43"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При вступі на основі ПЗСО, НРК5: зарахування за державним або регіональним замовленням у межах квоти-1</w:t>
            </w:r>
          </w:p>
        </w:tc>
        <w:tc>
          <w:tcPr>
            <w:tcW w:w="521" w:type="dxa"/>
          </w:tcPr>
          <w:p w14:paraId="743601DF" w14:textId="77777777" w:rsidR="00D55878" w:rsidRPr="005401AB" w:rsidRDefault="00D55878" w:rsidP="00D55878">
            <w:pPr>
              <w:pBdr>
                <w:top w:val="nil"/>
                <w:left w:val="nil"/>
                <w:bottom w:val="nil"/>
                <w:right w:val="nil"/>
                <w:between w:val="nil"/>
              </w:pBdr>
              <w:spacing w:line="240" w:lineRule="auto"/>
              <w:ind w:left="0" w:hanging="2"/>
              <w:rPr>
                <w:lang w:val="uk-UA"/>
              </w:rPr>
            </w:pPr>
          </w:p>
        </w:tc>
      </w:tr>
      <w:tr w:rsidR="00D55878" w:rsidRPr="000D0CC0" w14:paraId="39F313E5" w14:textId="77777777" w:rsidTr="006F642A">
        <w:tc>
          <w:tcPr>
            <w:tcW w:w="4481" w:type="dxa"/>
            <w:vMerge/>
          </w:tcPr>
          <w:p w14:paraId="3BE64D12" w14:textId="77777777" w:rsidR="00D55878" w:rsidRPr="005401AB" w:rsidRDefault="00D55878" w:rsidP="00D55878">
            <w:pPr>
              <w:widowControl w:val="0"/>
              <w:pBdr>
                <w:top w:val="nil"/>
                <w:left w:val="nil"/>
                <w:bottom w:val="nil"/>
                <w:right w:val="nil"/>
                <w:between w:val="nil"/>
              </w:pBdr>
              <w:spacing w:line="276" w:lineRule="auto"/>
              <w:ind w:left="0" w:hanging="2"/>
              <w:rPr>
                <w:lang w:val="uk-UA"/>
              </w:rPr>
            </w:pPr>
          </w:p>
        </w:tc>
        <w:tc>
          <w:tcPr>
            <w:tcW w:w="521" w:type="dxa"/>
            <w:vMerge/>
          </w:tcPr>
          <w:p w14:paraId="0D276FBA" w14:textId="77777777" w:rsidR="00D55878" w:rsidRPr="005401AB" w:rsidRDefault="00D55878" w:rsidP="00D55878">
            <w:pPr>
              <w:widowControl w:val="0"/>
              <w:pBdr>
                <w:top w:val="nil"/>
                <w:left w:val="nil"/>
                <w:bottom w:val="nil"/>
                <w:right w:val="nil"/>
                <w:between w:val="nil"/>
              </w:pBdr>
              <w:spacing w:line="276" w:lineRule="auto"/>
              <w:ind w:left="0" w:hanging="2"/>
              <w:rPr>
                <w:lang w:val="uk-UA"/>
              </w:rPr>
            </w:pPr>
          </w:p>
        </w:tc>
        <w:tc>
          <w:tcPr>
            <w:tcW w:w="4898" w:type="dxa"/>
          </w:tcPr>
          <w:p w14:paraId="3CF5F149"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При вступі на основі НРК6, НРК7: проходження вступних випробувань у формі співбесіди з іноземної мови замість ЄВІ,  фахового іспиту замість ЄФВВ</w:t>
            </w:r>
          </w:p>
        </w:tc>
        <w:tc>
          <w:tcPr>
            <w:tcW w:w="521" w:type="dxa"/>
          </w:tcPr>
          <w:p w14:paraId="423658A2"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 </w:t>
            </w:r>
          </w:p>
        </w:tc>
      </w:tr>
      <w:tr w:rsidR="00D55878" w:rsidRPr="005401AB" w14:paraId="294912DB" w14:textId="77777777" w:rsidTr="006F642A">
        <w:tc>
          <w:tcPr>
            <w:tcW w:w="4481" w:type="dxa"/>
            <w:vMerge w:val="restart"/>
          </w:tcPr>
          <w:p w14:paraId="3D4F1840" w14:textId="77777777" w:rsidR="00D55878" w:rsidRPr="005401AB" w:rsidRDefault="00D55878" w:rsidP="00D55878">
            <w:pPr>
              <w:ind w:left="0" w:hanging="2"/>
              <w:rPr>
                <w:lang w:val="uk-UA"/>
              </w:rPr>
            </w:pPr>
            <w:r w:rsidRPr="005401AB">
              <w:rPr>
                <w:lang w:val="uk-UA"/>
              </w:rPr>
              <w:t xml:space="preserve">Особи, яким відмовлено в реєстрації для участі в 2023 році в національному </w:t>
            </w:r>
            <w:proofErr w:type="spellStart"/>
            <w:r w:rsidRPr="005401AB">
              <w:rPr>
                <w:lang w:val="uk-UA"/>
              </w:rPr>
              <w:t>мультипредметному</w:t>
            </w:r>
            <w:proofErr w:type="spellEnd"/>
            <w:r w:rsidRPr="005401AB">
              <w:rPr>
                <w:lang w:val="uk-UA"/>
              </w:rPr>
              <w:t xml:space="preserve"> тесті (НМТ), єдиному вступному іспиті (ЄВІ), єдиному фаховому вступному випробуванні (ЄФВВ) через неможливість створення особливих (спеціальних) умов, що створюються для осіб з особливими освітніми потребами в пунктах проведення зовнішнього незалежного оцінювання, затвердженому наказом Міністерства освіти і науки України та Міністерства охорони здоров'я України від 29 серпня 2016 року № 1027/900, зареєстрованому в Міністерстві юстиції України 27 грудня 2016 року за № 1708/29838</w:t>
            </w:r>
          </w:p>
        </w:tc>
        <w:tc>
          <w:tcPr>
            <w:tcW w:w="521" w:type="dxa"/>
            <w:vMerge w:val="restart"/>
          </w:tcPr>
          <w:p w14:paraId="1E6223D9"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 </w:t>
            </w:r>
          </w:p>
        </w:tc>
        <w:tc>
          <w:tcPr>
            <w:tcW w:w="4898" w:type="dxa"/>
          </w:tcPr>
          <w:p w14:paraId="3605F215"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При вступі на основі ПЗСО, НРК5: проходження вступних випробувань у формі співбесіди замість результатів НМТ або творчого конкурсу або використання результатів ЗНО чи НМТ</w:t>
            </w:r>
          </w:p>
        </w:tc>
        <w:tc>
          <w:tcPr>
            <w:tcW w:w="521" w:type="dxa"/>
          </w:tcPr>
          <w:p w14:paraId="1D24D697"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 </w:t>
            </w:r>
          </w:p>
        </w:tc>
      </w:tr>
      <w:tr w:rsidR="00D55878" w:rsidRPr="005401AB" w14:paraId="450A2E0B" w14:textId="77777777" w:rsidTr="006F642A">
        <w:tc>
          <w:tcPr>
            <w:tcW w:w="4481" w:type="dxa"/>
            <w:vMerge/>
          </w:tcPr>
          <w:p w14:paraId="736537A5" w14:textId="77777777" w:rsidR="00D55878" w:rsidRPr="005401AB" w:rsidRDefault="00D55878" w:rsidP="00D55878">
            <w:pPr>
              <w:ind w:left="0" w:hanging="2"/>
              <w:rPr>
                <w:lang w:val="uk-UA"/>
              </w:rPr>
            </w:pPr>
          </w:p>
        </w:tc>
        <w:tc>
          <w:tcPr>
            <w:tcW w:w="521" w:type="dxa"/>
            <w:vMerge/>
          </w:tcPr>
          <w:p w14:paraId="0D1497DA" w14:textId="77777777" w:rsidR="00D55878" w:rsidRPr="005401AB" w:rsidRDefault="00D55878" w:rsidP="00D55878">
            <w:pPr>
              <w:pBdr>
                <w:top w:val="nil"/>
                <w:left w:val="nil"/>
                <w:bottom w:val="nil"/>
                <w:right w:val="nil"/>
                <w:between w:val="nil"/>
              </w:pBdr>
              <w:spacing w:line="240" w:lineRule="auto"/>
              <w:ind w:left="0" w:hanging="2"/>
              <w:rPr>
                <w:lang w:val="uk-UA"/>
              </w:rPr>
            </w:pPr>
          </w:p>
        </w:tc>
        <w:tc>
          <w:tcPr>
            <w:tcW w:w="4898" w:type="dxa"/>
          </w:tcPr>
          <w:p w14:paraId="6A1230AD"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При вступі на основі ПЗСО, НРК5: зарахування за державним або регіональним замовленням у межах квоти-1</w:t>
            </w:r>
          </w:p>
        </w:tc>
        <w:tc>
          <w:tcPr>
            <w:tcW w:w="521" w:type="dxa"/>
          </w:tcPr>
          <w:p w14:paraId="56E25CAD" w14:textId="77777777" w:rsidR="00D55878" w:rsidRPr="005401AB" w:rsidRDefault="00D55878" w:rsidP="00D55878">
            <w:pPr>
              <w:pBdr>
                <w:top w:val="nil"/>
                <w:left w:val="nil"/>
                <w:bottom w:val="nil"/>
                <w:right w:val="nil"/>
                <w:between w:val="nil"/>
              </w:pBdr>
              <w:spacing w:line="240" w:lineRule="auto"/>
              <w:ind w:left="0" w:hanging="2"/>
              <w:rPr>
                <w:lang w:val="uk-UA"/>
              </w:rPr>
            </w:pPr>
          </w:p>
        </w:tc>
      </w:tr>
      <w:tr w:rsidR="00D55878" w:rsidRPr="000D0CC0" w14:paraId="5FE1EDBE" w14:textId="77777777" w:rsidTr="006F642A">
        <w:tc>
          <w:tcPr>
            <w:tcW w:w="4481" w:type="dxa"/>
            <w:vMerge/>
          </w:tcPr>
          <w:p w14:paraId="329523A1" w14:textId="77777777" w:rsidR="00D55878" w:rsidRPr="005401AB" w:rsidRDefault="00D55878" w:rsidP="00D55878">
            <w:pPr>
              <w:widowControl w:val="0"/>
              <w:pBdr>
                <w:top w:val="nil"/>
                <w:left w:val="nil"/>
                <w:bottom w:val="nil"/>
                <w:right w:val="nil"/>
                <w:between w:val="nil"/>
              </w:pBdr>
              <w:spacing w:line="276" w:lineRule="auto"/>
              <w:ind w:left="0" w:hanging="2"/>
              <w:rPr>
                <w:lang w:val="uk-UA"/>
              </w:rPr>
            </w:pPr>
          </w:p>
        </w:tc>
        <w:tc>
          <w:tcPr>
            <w:tcW w:w="521" w:type="dxa"/>
            <w:vMerge/>
          </w:tcPr>
          <w:p w14:paraId="1E84A3D8" w14:textId="77777777" w:rsidR="00D55878" w:rsidRPr="005401AB" w:rsidRDefault="00D55878" w:rsidP="00D55878">
            <w:pPr>
              <w:widowControl w:val="0"/>
              <w:pBdr>
                <w:top w:val="nil"/>
                <w:left w:val="nil"/>
                <w:bottom w:val="nil"/>
                <w:right w:val="nil"/>
                <w:between w:val="nil"/>
              </w:pBdr>
              <w:spacing w:line="276" w:lineRule="auto"/>
              <w:ind w:left="0" w:hanging="2"/>
              <w:rPr>
                <w:lang w:val="uk-UA"/>
              </w:rPr>
            </w:pPr>
          </w:p>
        </w:tc>
        <w:tc>
          <w:tcPr>
            <w:tcW w:w="4898" w:type="dxa"/>
          </w:tcPr>
          <w:p w14:paraId="618E4C77"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При вступі на основі НРК6, НРК7: проходження вступних випробувань у формі співбесіди з іноземної мови замість ЄВІ,  фахового іспиту замість ЄФВВ</w:t>
            </w:r>
          </w:p>
        </w:tc>
        <w:tc>
          <w:tcPr>
            <w:tcW w:w="521" w:type="dxa"/>
          </w:tcPr>
          <w:p w14:paraId="2B185782"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 </w:t>
            </w:r>
          </w:p>
        </w:tc>
      </w:tr>
      <w:tr w:rsidR="00D55878" w:rsidRPr="005401AB" w14:paraId="228C6A94" w14:textId="77777777" w:rsidTr="006F642A">
        <w:trPr>
          <w:trHeight w:val="240"/>
        </w:trPr>
        <w:tc>
          <w:tcPr>
            <w:tcW w:w="4481" w:type="dxa"/>
            <w:vMerge w:val="restart"/>
          </w:tcPr>
          <w:p w14:paraId="796A71DB" w14:textId="77777777" w:rsidR="00D55878" w:rsidRPr="005401AB" w:rsidRDefault="00D55878" w:rsidP="00D55878">
            <w:pPr>
              <w:ind w:left="0" w:hanging="2"/>
              <w:rPr>
                <w:lang w:val="uk-UA"/>
              </w:rPr>
            </w:pPr>
            <w:r w:rsidRPr="005401AB">
              <w:rPr>
                <w:lang w:val="uk-UA"/>
              </w:rPr>
              <w:t xml:space="preserve">Особи, яким на запит щодо можливості створення спеціальних умов для проходження національному </w:t>
            </w:r>
            <w:proofErr w:type="spellStart"/>
            <w:r w:rsidRPr="005401AB">
              <w:rPr>
                <w:lang w:val="uk-UA"/>
              </w:rPr>
              <w:t>мультипредметному</w:t>
            </w:r>
            <w:proofErr w:type="spellEnd"/>
            <w:r w:rsidRPr="005401AB">
              <w:rPr>
                <w:lang w:val="uk-UA"/>
              </w:rPr>
              <w:t xml:space="preserve"> тесті (НМТ), єдиному вступному іспиті (ЄВІ), єдиному фаховому вступному випробуванні (ЄФВВ) Українським центром оцінювання якості освіти надано відмову в їх створенні через відсутність організаційно-технологічних можливостей (за умови внесення до картки фізичної особи відповідного витягу з протоколу засідання регламентної комісії при регіональному центрі оцінювання якості освіти та медичного висновку, у якому зазначено про необхідність створення певних умов для проходження НМТ, медичного висновку, у якому зазначено про необхідність створення певних умов для складання ЄВІ, ЄФВВ)</w:t>
            </w:r>
          </w:p>
        </w:tc>
        <w:tc>
          <w:tcPr>
            <w:tcW w:w="521" w:type="dxa"/>
            <w:vMerge w:val="restart"/>
          </w:tcPr>
          <w:p w14:paraId="039EC49D" w14:textId="77777777" w:rsidR="00D55878" w:rsidRPr="005401AB" w:rsidRDefault="00D55878" w:rsidP="00D55878">
            <w:pPr>
              <w:widowControl w:val="0"/>
              <w:pBdr>
                <w:top w:val="nil"/>
                <w:left w:val="nil"/>
                <w:bottom w:val="nil"/>
                <w:right w:val="nil"/>
                <w:between w:val="nil"/>
              </w:pBdr>
              <w:spacing w:line="276" w:lineRule="auto"/>
              <w:ind w:left="0" w:hanging="2"/>
              <w:rPr>
                <w:lang w:val="uk-UA"/>
              </w:rPr>
            </w:pPr>
          </w:p>
        </w:tc>
        <w:tc>
          <w:tcPr>
            <w:tcW w:w="4898" w:type="dxa"/>
          </w:tcPr>
          <w:p w14:paraId="12B317C3" w14:textId="77777777" w:rsidR="00D55878" w:rsidRDefault="00D55878" w:rsidP="00D55878">
            <w:pPr>
              <w:pBdr>
                <w:top w:val="nil"/>
                <w:left w:val="nil"/>
                <w:bottom w:val="nil"/>
                <w:right w:val="nil"/>
                <w:between w:val="nil"/>
              </w:pBdr>
              <w:spacing w:line="240" w:lineRule="auto"/>
              <w:ind w:left="0" w:hanging="2"/>
              <w:rPr>
                <w:lang w:val="uk-UA"/>
              </w:rPr>
            </w:pPr>
            <w:r w:rsidRPr="005401AB">
              <w:rPr>
                <w:lang w:val="uk-UA"/>
              </w:rPr>
              <w:t>При вступі на основі ПЗСО, НРК5: проходження вступних випробувань у формі співбесіди замість результатів НМТ або творчого конкурсу або використання результатів ЗНО чи НМТ</w:t>
            </w:r>
          </w:p>
          <w:p w14:paraId="7CE97DCB" w14:textId="3882F30D" w:rsidR="00D55878" w:rsidRPr="005401AB" w:rsidRDefault="00D55878" w:rsidP="00D55878">
            <w:pPr>
              <w:pBdr>
                <w:top w:val="nil"/>
                <w:left w:val="nil"/>
                <w:bottom w:val="nil"/>
                <w:right w:val="nil"/>
                <w:between w:val="nil"/>
              </w:pBdr>
              <w:spacing w:line="240" w:lineRule="auto"/>
              <w:ind w:left="0" w:hanging="2"/>
              <w:rPr>
                <w:lang w:val="uk-UA"/>
              </w:rPr>
            </w:pPr>
          </w:p>
        </w:tc>
        <w:tc>
          <w:tcPr>
            <w:tcW w:w="521" w:type="dxa"/>
          </w:tcPr>
          <w:p w14:paraId="248BCEE2" w14:textId="77777777" w:rsidR="00D55878" w:rsidRPr="005401AB" w:rsidRDefault="00D55878" w:rsidP="00D55878">
            <w:pPr>
              <w:pBdr>
                <w:top w:val="nil"/>
                <w:left w:val="nil"/>
                <w:bottom w:val="nil"/>
                <w:right w:val="nil"/>
                <w:between w:val="nil"/>
              </w:pBdr>
              <w:spacing w:line="240" w:lineRule="auto"/>
              <w:ind w:left="0" w:hanging="2"/>
              <w:rPr>
                <w:lang w:val="uk-UA"/>
              </w:rPr>
            </w:pPr>
          </w:p>
        </w:tc>
      </w:tr>
      <w:tr w:rsidR="00D55878" w:rsidRPr="005401AB" w14:paraId="2E41672C" w14:textId="77777777" w:rsidTr="006F642A">
        <w:trPr>
          <w:trHeight w:val="240"/>
        </w:trPr>
        <w:tc>
          <w:tcPr>
            <w:tcW w:w="4481" w:type="dxa"/>
            <w:vMerge/>
          </w:tcPr>
          <w:p w14:paraId="7FE16543" w14:textId="77777777" w:rsidR="00D55878" w:rsidRPr="005401AB" w:rsidRDefault="00D55878" w:rsidP="00D55878">
            <w:pPr>
              <w:ind w:left="0" w:hanging="2"/>
              <w:rPr>
                <w:lang w:val="uk-UA"/>
              </w:rPr>
            </w:pPr>
          </w:p>
        </w:tc>
        <w:tc>
          <w:tcPr>
            <w:tcW w:w="521" w:type="dxa"/>
            <w:vMerge/>
          </w:tcPr>
          <w:p w14:paraId="04F6AFB5" w14:textId="77777777" w:rsidR="00D55878" w:rsidRPr="005401AB" w:rsidRDefault="00D55878" w:rsidP="00D55878">
            <w:pPr>
              <w:widowControl w:val="0"/>
              <w:pBdr>
                <w:top w:val="nil"/>
                <w:left w:val="nil"/>
                <w:bottom w:val="nil"/>
                <w:right w:val="nil"/>
                <w:between w:val="nil"/>
              </w:pBdr>
              <w:spacing w:line="276" w:lineRule="auto"/>
              <w:ind w:left="0" w:hanging="2"/>
              <w:rPr>
                <w:lang w:val="uk-UA"/>
              </w:rPr>
            </w:pPr>
          </w:p>
        </w:tc>
        <w:tc>
          <w:tcPr>
            <w:tcW w:w="4898" w:type="dxa"/>
          </w:tcPr>
          <w:p w14:paraId="41B762D0" w14:textId="77777777" w:rsidR="00D55878" w:rsidRDefault="00D55878" w:rsidP="00D55878">
            <w:pPr>
              <w:pBdr>
                <w:top w:val="nil"/>
                <w:left w:val="nil"/>
                <w:bottom w:val="nil"/>
                <w:right w:val="nil"/>
                <w:between w:val="nil"/>
              </w:pBdr>
              <w:spacing w:line="240" w:lineRule="auto"/>
              <w:ind w:left="0" w:hanging="2"/>
              <w:rPr>
                <w:lang w:val="uk-UA"/>
              </w:rPr>
            </w:pPr>
            <w:r w:rsidRPr="005401AB">
              <w:rPr>
                <w:lang w:val="uk-UA"/>
              </w:rPr>
              <w:t>При вступі на основі ПЗСО, НРК5: зарахування за державним або регіональним замовленням у межах квоти-1</w:t>
            </w:r>
          </w:p>
          <w:p w14:paraId="06BF69AE" w14:textId="7BA345BD" w:rsidR="00D55878" w:rsidRPr="005401AB" w:rsidRDefault="00D55878" w:rsidP="00D55878">
            <w:pPr>
              <w:pBdr>
                <w:top w:val="nil"/>
                <w:left w:val="nil"/>
                <w:bottom w:val="nil"/>
                <w:right w:val="nil"/>
                <w:between w:val="nil"/>
              </w:pBdr>
              <w:spacing w:line="240" w:lineRule="auto"/>
              <w:ind w:left="0" w:hanging="2"/>
              <w:rPr>
                <w:lang w:val="uk-UA"/>
              </w:rPr>
            </w:pPr>
          </w:p>
        </w:tc>
        <w:tc>
          <w:tcPr>
            <w:tcW w:w="521" w:type="dxa"/>
          </w:tcPr>
          <w:p w14:paraId="7845F127" w14:textId="77777777" w:rsidR="00D55878" w:rsidRPr="005401AB" w:rsidRDefault="00D55878" w:rsidP="00D55878">
            <w:pPr>
              <w:pBdr>
                <w:top w:val="nil"/>
                <w:left w:val="nil"/>
                <w:bottom w:val="nil"/>
                <w:right w:val="nil"/>
                <w:between w:val="nil"/>
              </w:pBdr>
              <w:spacing w:line="240" w:lineRule="auto"/>
              <w:ind w:left="0" w:hanging="2"/>
              <w:rPr>
                <w:lang w:val="uk-UA"/>
              </w:rPr>
            </w:pPr>
          </w:p>
        </w:tc>
      </w:tr>
      <w:tr w:rsidR="00D55878" w:rsidRPr="000D0CC0" w14:paraId="0C21AF15" w14:textId="77777777" w:rsidTr="006F642A">
        <w:trPr>
          <w:trHeight w:val="240"/>
        </w:trPr>
        <w:tc>
          <w:tcPr>
            <w:tcW w:w="4481" w:type="dxa"/>
            <w:vMerge/>
          </w:tcPr>
          <w:p w14:paraId="1E1FBC28" w14:textId="77777777" w:rsidR="00D55878" w:rsidRPr="005401AB" w:rsidRDefault="00D55878" w:rsidP="00D55878">
            <w:pPr>
              <w:spacing w:line="240" w:lineRule="auto"/>
              <w:ind w:left="0" w:hanging="2"/>
              <w:rPr>
                <w:lang w:val="uk-UA"/>
              </w:rPr>
            </w:pPr>
          </w:p>
        </w:tc>
        <w:tc>
          <w:tcPr>
            <w:tcW w:w="521" w:type="dxa"/>
            <w:vMerge/>
          </w:tcPr>
          <w:p w14:paraId="428214B6" w14:textId="77777777" w:rsidR="00D55878" w:rsidRPr="005401AB" w:rsidRDefault="00D55878" w:rsidP="00D55878">
            <w:pPr>
              <w:widowControl w:val="0"/>
              <w:pBdr>
                <w:top w:val="nil"/>
                <w:left w:val="nil"/>
                <w:bottom w:val="nil"/>
                <w:right w:val="nil"/>
                <w:between w:val="nil"/>
              </w:pBdr>
              <w:spacing w:line="240" w:lineRule="auto"/>
              <w:ind w:left="0" w:hanging="2"/>
              <w:rPr>
                <w:lang w:val="uk-UA"/>
              </w:rPr>
            </w:pPr>
          </w:p>
        </w:tc>
        <w:tc>
          <w:tcPr>
            <w:tcW w:w="4898" w:type="dxa"/>
          </w:tcPr>
          <w:p w14:paraId="13615D37"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При вступі на основі НРК6, НРК7: проходження вступних випробувань у формі співбесіди з іноземної мови замість ЄВІ,  фахового іспиту замість ЄФВВ</w:t>
            </w:r>
          </w:p>
        </w:tc>
        <w:tc>
          <w:tcPr>
            <w:tcW w:w="521" w:type="dxa"/>
          </w:tcPr>
          <w:p w14:paraId="1941CB51" w14:textId="77777777" w:rsidR="00D55878" w:rsidRPr="005401AB" w:rsidRDefault="00D55878" w:rsidP="00D55878">
            <w:pPr>
              <w:pBdr>
                <w:top w:val="nil"/>
                <w:left w:val="nil"/>
                <w:bottom w:val="nil"/>
                <w:right w:val="nil"/>
                <w:between w:val="nil"/>
              </w:pBdr>
              <w:spacing w:line="240" w:lineRule="auto"/>
              <w:ind w:left="0" w:hanging="2"/>
              <w:rPr>
                <w:lang w:val="uk-UA"/>
              </w:rPr>
            </w:pPr>
          </w:p>
        </w:tc>
      </w:tr>
    </w:tbl>
    <w:p w14:paraId="351872BA" w14:textId="18F87D92" w:rsidR="00D55878" w:rsidRPr="000D0CC0" w:rsidRDefault="00D55878">
      <w:pPr>
        <w:ind w:left="0" w:hanging="2"/>
        <w:rPr>
          <w:lang w:val="uk-UA"/>
        </w:rPr>
      </w:pPr>
    </w:p>
    <w:p w14:paraId="4EE742BF" w14:textId="77777777" w:rsidR="00D55878" w:rsidRPr="000D0CC0" w:rsidRDefault="00D55878">
      <w:pPr>
        <w:ind w:left="0" w:hanging="2"/>
        <w:rPr>
          <w:lang w:val="uk-UA"/>
        </w:rPr>
      </w:pPr>
      <w:r w:rsidRPr="000D0CC0">
        <w:rPr>
          <w:lang w:val="uk-UA"/>
        </w:rPr>
        <w:br w:type="column"/>
      </w:r>
    </w:p>
    <w:tbl>
      <w:tblPr>
        <w:tblStyle w:val="ab"/>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1"/>
        <w:gridCol w:w="521"/>
        <w:gridCol w:w="4898"/>
        <w:gridCol w:w="521"/>
      </w:tblGrid>
      <w:tr w:rsidR="00D55878" w:rsidRPr="005401AB" w14:paraId="3BF9B944" w14:textId="77777777" w:rsidTr="00F756BC">
        <w:trPr>
          <w:trHeight w:val="240"/>
        </w:trPr>
        <w:tc>
          <w:tcPr>
            <w:tcW w:w="5002" w:type="dxa"/>
            <w:gridSpan w:val="2"/>
          </w:tcPr>
          <w:p w14:paraId="034750E3" w14:textId="0493A856" w:rsidR="00D55878" w:rsidRPr="005401AB" w:rsidRDefault="00D55878" w:rsidP="00D55878">
            <w:pPr>
              <w:widowControl w:val="0"/>
              <w:pBdr>
                <w:top w:val="nil"/>
                <w:left w:val="nil"/>
                <w:bottom w:val="nil"/>
                <w:right w:val="nil"/>
                <w:between w:val="nil"/>
              </w:pBdr>
              <w:spacing w:line="240" w:lineRule="auto"/>
              <w:ind w:left="0" w:hanging="2"/>
              <w:jc w:val="center"/>
              <w:rPr>
                <w:lang w:val="uk-UA"/>
              </w:rPr>
            </w:pPr>
            <w:r>
              <w:rPr>
                <w:b/>
                <w:lang w:val="en-US"/>
              </w:rPr>
              <w:t>1</w:t>
            </w:r>
          </w:p>
        </w:tc>
        <w:tc>
          <w:tcPr>
            <w:tcW w:w="5419" w:type="dxa"/>
            <w:gridSpan w:val="2"/>
          </w:tcPr>
          <w:p w14:paraId="55D3DE08" w14:textId="2FADAED2" w:rsidR="00D55878" w:rsidRPr="005401AB" w:rsidRDefault="00D55878" w:rsidP="00D55878">
            <w:pPr>
              <w:pBdr>
                <w:top w:val="nil"/>
                <w:left w:val="nil"/>
                <w:bottom w:val="nil"/>
                <w:right w:val="nil"/>
                <w:between w:val="nil"/>
              </w:pBdr>
              <w:spacing w:line="240" w:lineRule="auto"/>
              <w:ind w:left="0" w:hanging="2"/>
              <w:jc w:val="center"/>
              <w:rPr>
                <w:lang w:val="uk-UA"/>
              </w:rPr>
            </w:pPr>
            <w:r>
              <w:rPr>
                <w:b/>
                <w:lang w:val="en-US"/>
              </w:rPr>
              <w:t>2</w:t>
            </w:r>
          </w:p>
        </w:tc>
      </w:tr>
      <w:tr w:rsidR="00D55878" w:rsidRPr="005401AB" w14:paraId="5635A8B8" w14:textId="77777777" w:rsidTr="006F642A">
        <w:trPr>
          <w:trHeight w:val="240"/>
        </w:trPr>
        <w:tc>
          <w:tcPr>
            <w:tcW w:w="4481" w:type="dxa"/>
            <w:vMerge w:val="restart"/>
          </w:tcPr>
          <w:p w14:paraId="03466524" w14:textId="77777777" w:rsidR="00D55878" w:rsidRPr="005401AB" w:rsidRDefault="00D55878" w:rsidP="00D55878">
            <w:pPr>
              <w:ind w:left="0" w:hanging="2"/>
              <w:rPr>
                <w:lang w:val="uk-UA"/>
              </w:rPr>
            </w:pPr>
            <w:r w:rsidRPr="005401AB">
              <w:rPr>
                <w:bCs/>
                <w:lang w:val="uk-UA"/>
              </w:rPr>
              <w:t xml:space="preserve">Особи з інвалідністю або діти з </w:t>
            </w:r>
            <w:r w:rsidRPr="005401AB">
              <w:rPr>
                <w:lang w:val="uk-UA"/>
              </w:rPr>
              <w:t>інвалідністю</w:t>
            </w:r>
            <w:r w:rsidRPr="005401AB">
              <w:rPr>
                <w:bCs/>
                <w:lang w:val="uk-UA"/>
              </w:rPr>
              <w:t xml:space="preserve">, які в 2023 році не брали участі в основних та додаткових сесіях </w:t>
            </w:r>
            <w:r w:rsidRPr="005401AB">
              <w:rPr>
                <w:lang w:val="uk-UA"/>
              </w:rPr>
              <w:t xml:space="preserve">національного </w:t>
            </w:r>
            <w:proofErr w:type="spellStart"/>
            <w:r w:rsidRPr="005401AB">
              <w:rPr>
                <w:lang w:val="uk-UA"/>
              </w:rPr>
              <w:t>мультипредметного</w:t>
            </w:r>
            <w:proofErr w:type="spellEnd"/>
            <w:r w:rsidRPr="005401AB">
              <w:rPr>
                <w:lang w:val="uk-UA"/>
              </w:rPr>
              <w:t xml:space="preserve"> тесту (НМТ), єдиного вступного іспиту (ЄВІ), єдиного фахового вступного випробування (ЄФВВ) </w:t>
            </w:r>
            <w:r w:rsidRPr="005401AB">
              <w:rPr>
                <w:bCs/>
                <w:lang w:val="uk-UA"/>
              </w:rPr>
              <w:t>через наявність захворювання або патологічного стану</w:t>
            </w:r>
            <w:r w:rsidRPr="005401AB">
              <w:rPr>
                <w:lang w:val="uk-UA"/>
              </w:rPr>
              <w:t xml:space="preserve">, зазначеного в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 1027/900, зареєстрованому в Міністерстві юстиції України 27 грудня 2016 року за № 1707/29837 </w:t>
            </w:r>
          </w:p>
        </w:tc>
        <w:tc>
          <w:tcPr>
            <w:tcW w:w="521" w:type="dxa"/>
          </w:tcPr>
          <w:p w14:paraId="3EA2C582" w14:textId="77777777" w:rsidR="00D55878" w:rsidRPr="005401AB" w:rsidRDefault="00D55878" w:rsidP="00D55878">
            <w:pPr>
              <w:widowControl w:val="0"/>
              <w:pBdr>
                <w:top w:val="nil"/>
                <w:left w:val="nil"/>
                <w:bottom w:val="nil"/>
                <w:right w:val="nil"/>
                <w:between w:val="nil"/>
              </w:pBdr>
              <w:spacing w:line="240" w:lineRule="auto"/>
              <w:ind w:left="0" w:hanging="2"/>
              <w:rPr>
                <w:lang w:val="uk-UA"/>
              </w:rPr>
            </w:pPr>
          </w:p>
        </w:tc>
        <w:tc>
          <w:tcPr>
            <w:tcW w:w="4898" w:type="dxa"/>
          </w:tcPr>
          <w:p w14:paraId="1E9833CC" w14:textId="77777777" w:rsidR="00D55878" w:rsidRDefault="00D55878" w:rsidP="00D55878">
            <w:pPr>
              <w:pBdr>
                <w:top w:val="nil"/>
                <w:left w:val="nil"/>
                <w:bottom w:val="nil"/>
                <w:right w:val="nil"/>
                <w:between w:val="nil"/>
              </w:pBdr>
              <w:spacing w:line="240" w:lineRule="auto"/>
              <w:ind w:left="0" w:hanging="2"/>
              <w:rPr>
                <w:lang w:val="uk-UA"/>
              </w:rPr>
            </w:pPr>
            <w:r w:rsidRPr="005401AB">
              <w:rPr>
                <w:lang w:val="uk-UA"/>
              </w:rPr>
              <w:t>При вступі на основі ПЗСО, НРК5: проходження вступних випробувань у формі співбесіди замість результатів НМТ або творчого конкурсу або використання результатів ЗНО чи НМТ</w:t>
            </w:r>
          </w:p>
          <w:p w14:paraId="057FE53F" w14:textId="3356A8D8" w:rsidR="00D55878" w:rsidRPr="005401AB" w:rsidRDefault="00D55878" w:rsidP="00D55878">
            <w:pPr>
              <w:pBdr>
                <w:top w:val="nil"/>
                <w:left w:val="nil"/>
                <w:bottom w:val="nil"/>
                <w:right w:val="nil"/>
                <w:between w:val="nil"/>
              </w:pBdr>
              <w:spacing w:line="240" w:lineRule="auto"/>
              <w:ind w:left="0" w:hanging="2"/>
              <w:rPr>
                <w:lang w:val="uk-UA"/>
              </w:rPr>
            </w:pPr>
          </w:p>
        </w:tc>
        <w:tc>
          <w:tcPr>
            <w:tcW w:w="521" w:type="dxa"/>
          </w:tcPr>
          <w:p w14:paraId="168A6447" w14:textId="77777777" w:rsidR="00D55878" w:rsidRPr="005401AB" w:rsidRDefault="00D55878" w:rsidP="00D55878">
            <w:pPr>
              <w:pBdr>
                <w:top w:val="nil"/>
                <w:left w:val="nil"/>
                <w:bottom w:val="nil"/>
                <w:right w:val="nil"/>
                <w:between w:val="nil"/>
              </w:pBdr>
              <w:spacing w:line="240" w:lineRule="auto"/>
              <w:ind w:left="0" w:hanging="2"/>
              <w:rPr>
                <w:lang w:val="uk-UA"/>
              </w:rPr>
            </w:pPr>
          </w:p>
        </w:tc>
      </w:tr>
      <w:tr w:rsidR="00D55878" w:rsidRPr="005401AB" w14:paraId="67234D10" w14:textId="77777777" w:rsidTr="006F642A">
        <w:trPr>
          <w:trHeight w:val="240"/>
        </w:trPr>
        <w:tc>
          <w:tcPr>
            <w:tcW w:w="4481" w:type="dxa"/>
            <w:vMerge/>
          </w:tcPr>
          <w:p w14:paraId="63968C22" w14:textId="77777777" w:rsidR="00D55878" w:rsidRPr="005401AB" w:rsidRDefault="00D55878" w:rsidP="00D55878">
            <w:pPr>
              <w:ind w:left="0" w:hanging="2"/>
              <w:rPr>
                <w:bCs/>
                <w:lang w:val="uk-UA"/>
              </w:rPr>
            </w:pPr>
          </w:p>
        </w:tc>
        <w:tc>
          <w:tcPr>
            <w:tcW w:w="521" w:type="dxa"/>
          </w:tcPr>
          <w:p w14:paraId="218AE6C5" w14:textId="77777777" w:rsidR="00D55878" w:rsidRPr="005401AB" w:rsidRDefault="00D55878" w:rsidP="00D55878">
            <w:pPr>
              <w:widowControl w:val="0"/>
              <w:pBdr>
                <w:top w:val="nil"/>
                <w:left w:val="nil"/>
                <w:bottom w:val="nil"/>
                <w:right w:val="nil"/>
                <w:between w:val="nil"/>
              </w:pBdr>
              <w:spacing w:line="240" w:lineRule="auto"/>
              <w:ind w:left="0" w:hanging="2"/>
              <w:rPr>
                <w:lang w:val="uk-UA"/>
              </w:rPr>
            </w:pPr>
          </w:p>
        </w:tc>
        <w:tc>
          <w:tcPr>
            <w:tcW w:w="4898" w:type="dxa"/>
          </w:tcPr>
          <w:p w14:paraId="58DB4A29" w14:textId="77777777" w:rsidR="00D55878" w:rsidRDefault="00D55878" w:rsidP="00D55878">
            <w:pPr>
              <w:pBdr>
                <w:top w:val="nil"/>
                <w:left w:val="nil"/>
                <w:bottom w:val="nil"/>
                <w:right w:val="nil"/>
                <w:between w:val="nil"/>
              </w:pBdr>
              <w:spacing w:line="240" w:lineRule="auto"/>
              <w:ind w:left="0" w:hanging="2"/>
              <w:rPr>
                <w:lang w:val="uk-UA"/>
              </w:rPr>
            </w:pPr>
            <w:r w:rsidRPr="005401AB">
              <w:rPr>
                <w:lang w:val="uk-UA"/>
              </w:rPr>
              <w:t>При вступі на основі ПЗСО, НРК5: зарахування за державним або регіональним замовленням у межах квоти-1</w:t>
            </w:r>
          </w:p>
          <w:p w14:paraId="68C3D50D" w14:textId="5007DDF8" w:rsidR="00D55878" w:rsidRPr="005401AB" w:rsidRDefault="00D55878" w:rsidP="00D55878">
            <w:pPr>
              <w:pBdr>
                <w:top w:val="nil"/>
                <w:left w:val="nil"/>
                <w:bottom w:val="nil"/>
                <w:right w:val="nil"/>
                <w:between w:val="nil"/>
              </w:pBdr>
              <w:spacing w:line="240" w:lineRule="auto"/>
              <w:ind w:left="0" w:hanging="2"/>
              <w:rPr>
                <w:lang w:val="uk-UA"/>
              </w:rPr>
            </w:pPr>
          </w:p>
        </w:tc>
        <w:tc>
          <w:tcPr>
            <w:tcW w:w="521" w:type="dxa"/>
          </w:tcPr>
          <w:p w14:paraId="3BD14A7C" w14:textId="77777777" w:rsidR="00D55878" w:rsidRPr="005401AB" w:rsidRDefault="00D55878" w:rsidP="00D55878">
            <w:pPr>
              <w:pBdr>
                <w:top w:val="nil"/>
                <w:left w:val="nil"/>
                <w:bottom w:val="nil"/>
                <w:right w:val="nil"/>
                <w:between w:val="nil"/>
              </w:pBdr>
              <w:spacing w:line="240" w:lineRule="auto"/>
              <w:ind w:left="0" w:hanging="2"/>
              <w:rPr>
                <w:lang w:val="uk-UA"/>
              </w:rPr>
            </w:pPr>
          </w:p>
        </w:tc>
      </w:tr>
      <w:tr w:rsidR="00D55878" w:rsidRPr="000D0CC0" w14:paraId="795F36ED" w14:textId="77777777" w:rsidTr="006F642A">
        <w:trPr>
          <w:trHeight w:val="240"/>
        </w:trPr>
        <w:tc>
          <w:tcPr>
            <w:tcW w:w="4481" w:type="dxa"/>
            <w:vMerge/>
          </w:tcPr>
          <w:p w14:paraId="50504CBB" w14:textId="77777777" w:rsidR="00D55878" w:rsidRPr="005401AB" w:rsidRDefault="00D55878" w:rsidP="00D55878">
            <w:pPr>
              <w:ind w:left="0" w:hanging="2"/>
              <w:rPr>
                <w:bCs/>
                <w:lang w:val="uk-UA"/>
              </w:rPr>
            </w:pPr>
          </w:p>
        </w:tc>
        <w:tc>
          <w:tcPr>
            <w:tcW w:w="521" w:type="dxa"/>
          </w:tcPr>
          <w:p w14:paraId="339C8DAE" w14:textId="77777777" w:rsidR="00D55878" w:rsidRPr="005401AB" w:rsidRDefault="00D55878" w:rsidP="00D55878">
            <w:pPr>
              <w:widowControl w:val="0"/>
              <w:pBdr>
                <w:top w:val="nil"/>
                <w:left w:val="nil"/>
                <w:bottom w:val="nil"/>
                <w:right w:val="nil"/>
                <w:between w:val="nil"/>
              </w:pBdr>
              <w:spacing w:line="240" w:lineRule="auto"/>
              <w:ind w:left="0" w:hanging="2"/>
              <w:rPr>
                <w:lang w:val="uk-UA"/>
              </w:rPr>
            </w:pPr>
          </w:p>
        </w:tc>
        <w:tc>
          <w:tcPr>
            <w:tcW w:w="4898" w:type="dxa"/>
          </w:tcPr>
          <w:p w14:paraId="17F42DB2"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При вступі на основі НРК6, НРК7: проходження вступних випробувань у формі співбесіди з іноземної мови замість ЄВІ,  фахового іспиту замість ЄФВВ</w:t>
            </w:r>
          </w:p>
        </w:tc>
        <w:tc>
          <w:tcPr>
            <w:tcW w:w="521" w:type="dxa"/>
          </w:tcPr>
          <w:p w14:paraId="0D89C535" w14:textId="77777777" w:rsidR="00D55878" w:rsidRPr="005401AB" w:rsidRDefault="00D55878" w:rsidP="00D55878">
            <w:pPr>
              <w:pBdr>
                <w:top w:val="nil"/>
                <w:left w:val="nil"/>
                <w:bottom w:val="nil"/>
                <w:right w:val="nil"/>
                <w:between w:val="nil"/>
              </w:pBdr>
              <w:spacing w:line="240" w:lineRule="auto"/>
              <w:ind w:left="0" w:hanging="2"/>
              <w:rPr>
                <w:lang w:val="uk-UA"/>
              </w:rPr>
            </w:pPr>
          </w:p>
        </w:tc>
      </w:tr>
      <w:tr w:rsidR="00D55878" w:rsidRPr="000D0CC0" w14:paraId="330CD609" w14:textId="77777777" w:rsidTr="006F642A">
        <w:trPr>
          <w:trHeight w:val="240"/>
        </w:trPr>
        <w:tc>
          <w:tcPr>
            <w:tcW w:w="4481" w:type="dxa"/>
          </w:tcPr>
          <w:p w14:paraId="54CB1689" w14:textId="77777777" w:rsidR="00D55878" w:rsidRPr="005401AB" w:rsidRDefault="00D55878" w:rsidP="00D55878">
            <w:pPr>
              <w:ind w:left="0" w:hanging="2"/>
              <w:rPr>
                <w:bCs/>
                <w:lang w:val="uk-UA"/>
              </w:rPr>
            </w:pPr>
            <w:r w:rsidRPr="005401AB">
              <w:rPr>
                <w:lang w:val="uk-UA"/>
              </w:rPr>
              <w:t>Військовослужбовці, поліцейські, рятувальники, особи рядового і начальницького складу Державної кримінально-виконавчої служби при вступі на місця за кошти фізичних та/або юридичних осіб до вищих військових навчальних закладів, закладів вищої освіти зі специфічними умовами навчання та військових навчальних підрозділів закладів вищої освіти (тільки під час вступу на навчання для здобуття ступеня магістра на основі НРК6 та НРК7)</w:t>
            </w:r>
          </w:p>
        </w:tc>
        <w:tc>
          <w:tcPr>
            <w:tcW w:w="521" w:type="dxa"/>
          </w:tcPr>
          <w:p w14:paraId="0E2C6A1A" w14:textId="77777777" w:rsidR="00D55878" w:rsidRPr="005401AB" w:rsidRDefault="00D55878" w:rsidP="00D55878">
            <w:pPr>
              <w:widowControl w:val="0"/>
              <w:pBdr>
                <w:top w:val="nil"/>
                <w:left w:val="nil"/>
                <w:bottom w:val="nil"/>
                <w:right w:val="nil"/>
                <w:between w:val="nil"/>
              </w:pBdr>
              <w:spacing w:line="240" w:lineRule="auto"/>
              <w:ind w:left="0" w:hanging="2"/>
              <w:rPr>
                <w:lang w:val="uk-UA"/>
              </w:rPr>
            </w:pPr>
          </w:p>
        </w:tc>
        <w:tc>
          <w:tcPr>
            <w:tcW w:w="4898" w:type="dxa"/>
          </w:tcPr>
          <w:p w14:paraId="58EF233D"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При вступі на навчання для здобуття ступеня магістра на основі НРК6, НРК7: проходження вступних випробувань у формі співбесіди з іноземної мови замість ЄВІ,  фахового іспиту замість ЄФВВ</w:t>
            </w:r>
          </w:p>
        </w:tc>
        <w:tc>
          <w:tcPr>
            <w:tcW w:w="521" w:type="dxa"/>
          </w:tcPr>
          <w:p w14:paraId="6927B30D" w14:textId="77777777" w:rsidR="00D55878" w:rsidRPr="005401AB" w:rsidRDefault="00D55878" w:rsidP="00D55878">
            <w:pPr>
              <w:pBdr>
                <w:top w:val="nil"/>
                <w:left w:val="nil"/>
                <w:bottom w:val="nil"/>
                <w:right w:val="nil"/>
                <w:between w:val="nil"/>
              </w:pBdr>
              <w:spacing w:line="240" w:lineRule="auto"/>
              <w:ind w:left="0" w:hanging="2"/>
              <w:rPr>
                <w:lang w:val="uk-UA"/>
              </w:rPr>
            </w:pPr>
          </w:p>
        </w:tc>
      </w:tr>
      <w:tr w:rsidR="00D55878" w:rsidRPr="005401AB" w14:paraId="3CA8313B" w14:textId="77777777" w:rsidTr="006F642A">
        <w:tc>
          <w:tcPr>
            <w:tcW w:w="4481" w:type="dxa"/>
            <w:vMerge w:val="restart"/>
          </w:tcPr>
          <w:p w14:paraId="0E7BE8B8"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Особи, місцем проживання яких є тимчасово окупована територія, територія населених пунктів на лінії зіткнення (які не зареєстровані як внутрішньо переміщені особи) або переселилися з неї після 01 січня 2023 року</w:t>
            </w:r>
          </w:p>
        </w:tc>
        <w:tc>
          <w:tcPr>
            <w:tcW w:w="521" w:type="dxa"/>
            <w:vMerge w:val="restart"/>
          </w:tcPr>
          <w:p w14:paraId="429B9F54"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 </w:t>
            </w:r>
          </w:p>
        </w:tc>
        <w:tc>
          <w:tcPr>
            <w:tcW w:w="4898" w:type="dxa"/>
          </w:tcPr>
          <w:p w14:paraId="673C341A"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При вступі на основі ПЗСО, НРК5: проходження вступних випробувань у формі співбесіди замість результатів НМТ або творчого конкурсу або використання результатів ЗНО чи НМТ</w:t>
            </w:r>
          </w:p>
        </w:tc>
        <w:tc>
          <w:tcPr>
            <w:tcW w:w="521" w:type="dxa"/>
          </w:tcPr>
          <w:p w14:paraId="0BA7BA71"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 </w:t>
            </w:r>
          </w:p>
        </w:tc>
      </w:tr>
      <w:tr w:rsidR="00D55878" w:rsidRPr="005401AB" w14:paraId="14D63A2E" w14:textId="77777777" w:rsidTr="006F642A">
        <w:tc>
          <w:tcPr>
            <w:tcW w:w="4481" w:type="dxa"/>
            <w:vMerge/>
          </w:tcPr>
          <w:p w14:paraId="1B757668" w14:textId="77777777" w:rsidR="00D55878" w:rsidRPr="005401AB" w:rsidRDefault="00D55878" w:rsidP="00D55878">
            <w:pPr>
              <w:widowControl w:val="0"/>
              <w:pBdr>
                <w:top w:val="nil"/>
                <w:left w:val="nil"/>
                <w:bottom w:val="nil"/>
                <w:right w:val="nil"/>
                <w:between w:val="nil"/>
              </w:pBdr>
              <w:spacing w:line="276" w:lineRule="auto"/>
              <w:ind w:left="0" w:hanging="2"/>
              <w:rPr>
                <w:lang w:val="uk-UA"/>
              </w:rPr>
            </w:pPr>
          </w:p>
        </w:tc>
        <w:tc>
          <w:tcPr>
            <w:tcW w:w="521" w:type="dxa"/>
            <w:vMerge/>
          </w:tcPr>
          <w:p w14:paraId="044C42AF" w14:textId="77777777" w:rsidR="00D55878" w:rsidRPr="005401AB" w:rsidRDefault="00D55878" w:rsidP="00D55878">
            <w:pPr>
              <w:widowControl w:val="0"/>
              <w:pBdr>
                <w:top w:val="nil"/>
                <w:left w:val="nil"/>
                <w:bottom w:val="nil"/>
                <w:right w:val="nil"/>
                <w:between w:val="nil"/>
              </w:pBdr>
              <w:spacing w:line="276" w:lineRule="auto"/>
              <w:ind w:left="0" w:hanging="2"/>
              <w:rPr>
                <w:lang w:val="uk-UA"/>
              </w:rPr>
            </w:pPr>
          </w:p>
        </w:tc>
        <w:tc>
          <w:tcPr>
            <w:tcW w:w="4898" w:type="dxa"/>
          </w:tcPr>
          <w:p w14:paraId="7CA6F150"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При вступі на основі ПЗСО, НРК5: зарахування за державним або регіональним замовленням у межах квоти-2</w:t>
            </w:r>
          </w:p>
        </w:tc>
        <w:tc>
          <w:tcPr>
            <w:tcW w:w="521" w:type="dxa"/>
          </w:tcPr>
          <w:p w14:paraId="2B847DAE"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 </w:t>
            </w:r>
          </w:p>
        </w:tc>
      </w:tr>
      <w:tr w:rsidR="00D55878" w:rsidRPr="005401AB" w14:paraId="127E5BBD" w14:textId="77777777" w:rsidTr="00A25CAB">
        <w:trPr>
          <w:trHeight w:val="2484"/>
        </w:trPr>
        <w:tc>
          <w:tcPr>
            <w:tcW w:w="4481" w:type="dxa"/>
          </w:tcPr>
          <w:p w14:paraId="7982B280" w14:textId="2F5AF1AB"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Особи, місце проживання яких зареєстровано (задекларовано) в населених пунктах, віднесених до території активних бойових дій станом на 01 липня 2023 року, або тимчасова окупація яких Російською Федерацією завершилась після 24 лютого 2022 року, або які переселилися з неї після 24 лютого 2023 року</w:t>
            </w:r>
          </w:p>
        </w:tc>
        <w:tc>
          <w:tcPr>
            <w:tcW w:w="521" w:type="dxa"/>
          </w:tcPr>
          <w:p w14:paraId="2606D6C2" w14:textId="77777777" w:rsidR="00D55878" w:rsidRPr="005401AB" w:rsidRDefault="00D55878" w:rsidP="00D55878">
            <w:pPr>
              <w:widowControl w:val="0"/>
              <w:pBdr>
                <w:top w:val="nil"/>
                <w:left w:val="nil"/>
                <w:bottom w:val="nil"/>
                <w:right w:val="nil"/>
                <w:between w:val="nil"/>
              </w:pBdr>
              <w:spacing w:line="276" w:lineRule="auto"/>
              <w:ind w:left="0" w:hanging="2"/>
              <w:rPr>
                <w:strike/>
                <w:lang w:val="uk-UA"/>
              </w:rPr>
            </w:pPr>
          </w:p>
        </w:tc>
        <w:tc>
          <w:tcPr>
            <w:tcW w:w="4898" w:type="dxa"/>
          </w:tcPr>
          <w:p w14:paraId="6F69867F" w14:textId="51A82F1F" w:rsidR="00D55878" w:rsidRPr="005401AB" w:rsidRDefault="00D55878" w:rsidP="00D55878">
            <w:pPr>
              <w:ind w:left="0" w:hanging="2"/>
              <w:rPr>
                <w:lang w:val="uk-UA"/>
              </w:rPr>
            </w:pPr>
            <w:r w:rsidRPr="005401AB">
              <w:rPr>
                <w:lang w:val="uk-UA"/>
              </w:rPr>
              <w:t>Зарахування за державним або регіональним замовленням у межах квоти-2</w:t>
            </w:r>
          </w:p>
        </w:tc>
        <w:tc>
          <w:tcPr>
            <w:tcW w:w="521" w:type="dxa"/>
          </w:tcPr>
          <w:p w14:paraId="3E59B4EA" w14:textId="77777777" w:rsidR="00D55878" w:rsidRPr="005401AB" w:rsidRDefault="00D55878" w:rsidP="00D55878">
            <w:pPr>
              <w:pBdr>
                <w:top w:val="nil"/>
                <w:left w:val="nil"/>
                <w:bottom w:val="nil"/>
                <w:right w:val="nil"/>
                <w:between w:val="nil"/>
              </w:pBdr>
              <w:spacing w:line="240" w:lineRule="auto"/>
              <w:ind w:left="0" w:hanging="2"/>
              <w:rPr>
                <w:lang w:val="uk-UA"/>
              </w:rPr>
            </w:pPr>
          </w:p>
        </w:tc>
      </w:tr>
    </w:tbl>
    <w:p w14:paraId="4006C613" w14:textId="0C6D30DD" w:rsidR="00D55878" w:rsidRDefault="00D55878">
      <w:pPr>
        <w:ind w:left="0" w:hanging="2"/>
      </w:pPr>
    </w:p>
    <w:p w14:paraId="4231D2B5" w14:textId="77777777" w:rsidR="00D55878" w:rsidRDefault="00D55878">
      <w:pPr>
        <w:ind w:left="0" w:hanging="2"/>
      </w:pPr>
      <w:r>
        <w:br w:type="column"/>
      </w:r>
    </w:p>
    <w:tbl>
      <w:tblPr>
        <w:tblStyle w:val="ab"/>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1"/>
        <w:gridCol w:w="521"/>
        <w:gridCol w:w="4898"/>
        <w:gridCol w:w="521"/>
      </w:tblGrid>
      <w:tr w:rsidR="00D55878" w:rsidRPr="005401AB" w14:paraId="1D1AB79C" w14:textId="77777777" w:rsidTr="00D55878">
        <w:trPr>
          <w:trHeight w:val="280"/>
        </w:trPr>
        <w:tc>
          <w:tcPr>
            <w:tcW w:w="5002" w:type="dxa"/>
            <w:gridSpan w:val="2"/>
          </w:tcPr>
          <w:p w14:paraId="6806FE39" w14:textId="7262C4DA" w:rsidR="00D55878" w:rsidRPr="00D55878" w:rsidRDefault="00D55878" w:rsidP="00D55878">
            <w:pPr>
              <w:widowControl w:val="0"/>
              <w:pBdr>
                <w:top w:val="nil"/>
                <w:left w:val="nil"/>
                <w:bottom w:val="nil"/>
                <w:right w:val="nil"/>
                <w:between w:val="nil"/>
              </w:pBdr>
              <w:spacing w:line="276" w:lineRule="auto"/>
              <w:ind w:left="0" w:hanging="2"/>
              <w:jc w:val="center"/>
              <w:rPr>
                <w:strike/>
                <w:lang w:val="en-US"/>
              </w:rPr>
            </w:pPr>
            <w:r>
              <w:rPr>
                <w:b/>
                <w:lang w:val="en-US"/>
              </w:rPr>
              <w:t>1</w:t>
            </w:r>
          </w:p>
        </w:tc>
        <w:tc>
          <w:tcPr>
            <w:tcW w:w="5419" w:type="dxa"/>
            <w:gridSpan w:val="2"/>
          </w:tcPr>
          <w:p w14:paraId="7C7B312E" w14:textId="5226DECC" w:rsidR="00D55878" w:rsidRPr="005401AB" w:rsidRDefault="00D55878" w:rsidP="00D55878">
            <w:pPr>
              <w:pBdr>
                <w:top w:val="nil"/>
                <w:left w:val="nil"/>
                <w:bottom w:val="nil"/>
                <w:right w:val="nil"/>
                <w:between w:val="nil"/>
              </w:pBdr>
              <w:spacing w:line="240" w:lineRule="auto"/>
              <w:ind w:left="0" w:hanging="2"/>
              <w:jc w:val="center"/>
              <w:rPr>
                <w:lang w:val="uk-UA"/>
              </w:rPr>
            </w:pPr>
            <w:r>
              <w:rPr>
                <w:b/>
                <w:lang w:val="en-US"/>
              </w:rPr>
              <w:t>2</w:t>
            </w:r>
          </w:p>
        </w:tc>
      </w:tr>
      <w:tr w:rsidR="00D55878" w:rsidRPr="005401AB" w14:paraId="1DA449C5" w14:textId="77777777" w:rsidTr="00F4554F">
        <w:trPr>
          <w:trHeight w:val="240"/>
        </w:trPr>
        <w:tc>
          <w:tcPr>
            <w:tcW w:w="4481" w:type="dxa"/>
          </w:tcPr>
          <w:p w14:paraId="2EE72601" w14:textId="77777777" w:rsidR="00D55878" w:rsidRPr="005401AB" w:rsidRDefault="00D55878" w:rsidP="00D55878">
            <w:pPr>
              <w:ind w:left="0" w:hanging="2"/>
              <w:rPr>
                <w:lang w:val="uk-UA"/>
              </w:rPr>
            </w:pPr>
            <w:r w:rsidRPr="005401AB">
              <w:rPr>
                <w:lang w:val="uk-UA"/>
              </w:rPr>
              <w:t>Особи з інвалідністю або діти з інвалідністю, які в 2023 році брали участь в основних та додаткових сесіях НМТ, ЄВІ, ЄФВВ у яких наявне захворювання або патологічний стан, зазначений в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 1027/900, зареєстрованому в Міністерстві юстиції України 27 грудня 2016 року за № 1707/29837</w:t>
            </w:r>
          </w:p>
        </w:tc>
        <w:tc>
          <w:tcPr>
            <w:tcW w:w="521" w:type="dxa"/>
          </w:tcPr>
          <w:p w14:paraId="74A9CAFA" w14:textId="77777777" w:rsidR="00D55878" w:rsidRPr="005401AB" w:rsidRDefault="00D55878" w:rsidP="00D55878">
            <w:pPr>
              <w:widowControl w:val="0"/>
              <w:pBdr>
                <w:top w:val="nil"/>
                <w:left w:val="nil"/>
                <w:bottom w:val="nil"/>
                <w:right w:val="nil"/>
                <w:between w:val="nil"/>
              </w:pBdr>
              <w:spacing w:line="240" w:lineRule="auto"/>
              <w:ind w:left="0" w:hanging="2"/>
              <w:rPr>
                <w:lang w:val="uk-UA"/>
              </w:rPr>
            </w:pPr>
          </w:p>
        </w:tc>
        <w:tc>
          <w:tcPr>
            <w:tcW w:w="4898" w:type="dxa"/>
          </w:tcPr>
          <w:p w14:paraId="30DCD820" w14:textId="77777777" w:rsidR="00D55878" w:rsidRPr="005401AB" w:rsidRDefault="00D55878" w:rsidP="00D55878">
            <w:pPr>
              <w:ind w:left="0" w:hanging="2"/>
              <w:rPr>
                <w:lang w:val="uk-UA"/>
              </w:rPr>
            </w:pPr>
            <w:r w:rsidRPr="005401AB">
              <w:rPr>
                <w:lang w:val="uk-UA"/>
              </w:rPr>
              <w:t>Зарахування за державним або регіональним замовленням у межах квоти-1</w:t>
            </w:r>
          </w:p>
        </w:tc>
        <w:tc>
          <w:tcPr>
            <w:tcW w:w="521" w:type="dxa"/>
          </w:tcPr>
          <w:p w14:paraId="235C0E7B" w14:textId="77777777" w:rsidR="00D55878" w:rsidRPr="005401AB" w:rsidRDefault="00D55878" w:rsidP="00D55878">
            <w:pPr>
              <w:pBdr>
                <w:top w:val="nil"/>
                <w:left w:val="nil"/>
                <w:bottom w:val="nil"/>
                <w:right w:val="nil"/>
                <w:between w:val="nil"/>
              </w:pBdr>
              <w:spacing w:line="240" w:lineRule="auto"/>
              <w:ind w:left="0" w:hanging="2"/>
              <w:rPr>
                <w:lang w:val="uk-UA"/>
              </w:rPr>
            </w:pPr>
          </w:p>
        </w:tc>
      </w:tr>
      <w:tr w:rsidR="00D55878" w:rsidRPr="005401AB" w14:paraId="725F7A1F" w14:textId="77777777" w:rsidTr="006F642A">
        <w:tc>
          <w:tcPr>
            <w:tcW w:w="4481" w:type="dxa"/>
          </w:tcPr>
          <w:p w14:paraId="42AED02D"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Діти-сироти, діти, позбавлені батьківського піклування, особи з їх числа</w:t>
            </w:r>
          </w:p>
        </w:tc>
        <w:tc>
          <w:tcPr>
            <w:tcW w:w="521" w:type="dxa"/>
          </w:tcPr>
          <w:p w14:paraId="47751E5F" w14:textId="77777777" w:rsidR="00D55878" w:rsidRPr="005401AB" w:rsidRDefault="00D55878" w:rsidP="00D55878">
            <w:pPr>
              <w:pBdr>
                <w:top w:val="nil"/>
                <w:left w:val="nil"/>
                <w:bottom w:val="nil"/>
                <w:right w:val="nil"/>
                <w:between w:val="nil"/>
              </w:pBdr>
              <w:spacing w:line="240" w:lineRule="auto"/>
              <w:ind w:left="0" w:hanging="2"/>
              <w:rPr>
                <w:lang w:val="uk-UA"/>
              </w:rPr>
            </w:pPr>
          </w:p>
        </w:tc>
        <w:tc>
          <w:tcPr>
            <w:tcW w:w="4898" w:type="dxa"/>
          </w:tcPr>
          <w:p w14:paraId="731AFC0C" w14:textId="77777777" w:rsidR="00D55878" w:rsidRPr="005401AB" w:rsidRDefault="00D55878" w:rsidP="00D55878">
            <w:pPr>
              <w:ind w:left="0" w:hanging="2"/>
              <w:rPr>
                <w:lang w:val="uk-UA"/>
              </w:rPr>
            </w:pPr>
            <w:r w:rsidRPr="005401AB">
              <w:rPr>
                <w:lang w:val="uk-UA"/>
              </w:rPr>
              <w:t>Зарахування за державним або регіональним замовленням у межах квоти-1</w:t>
            </w:r>
          </w:p>
        </w:tc>
        <w:tc>
          <w:tcPr>
            <w:tcW w:w="521" w:type="dxa"/>
          </w:tcPr>
          <w:p w14:paraId="6D445AE2" w14:textId="77777777" w:rsidR="00D55878" w:rsidRPr="005401AB" w:rsidRDefault="00D55878" w:rsidP="00D55878">
            <w:pPr>
              <w:pBdr>
                <w:top w:val="nil"/>
                <w:left w:val="nil"/>
                <w:bottom w:val="nil"/>
                <w:right w:val="nil"/>
                <w:between w:val="nil"/>
              </w:pBdr>
              <w:spacing w:line="240" w:lineRule="auto"/>
              <w:ind w:left="0" w:hanging="2"/>
              <w:rPr>
                <w:lang w:val="uk-UA"/>
              </w:rPr>
            </w:pPr>
          </w:p>
        </w:tc>
      </w:tr>
      <w:tr w:rsidR="00D55878" w:rsidRPr="005401AB" w14:paraId="2481A08F" w14:textId="77777777" w:rsidTr="006F642A">
        <w:tc>
          <w:tcPr>
            <w:tcW w:w="4481" w:type="dxa"/>
          </w:tcPr>
          <w:p w14:paraId="53DCF85D"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Діти загиблих (померлих) осіб, визначених у частині першій статті 10</w:t>
            </w:r>
            <w:r w:rsidRPr="005401AB">
              <w:rPr>
                <w:vertAlign w:val="superscript"/>
                <w:lang w:val="uk-UA"/>
              </w:rPr>
              <w:t>1</w:t>
            </w:r>
            <w:r w:rsidRPr="005401AB">
              <w:rPr>
                <w:lang w:val="uk-UA"/>
              </w:rPr>
              <w:t xml:space="preserve"> Закону України «Про статус ветеранів війни, гарантії їх соціального захисту», особи з їх числа</w:t>
            </w:r>
          </w:p>
        </w:tc>
        <w:tc>
          <w:tcPr>
            <w:tcW w:w="521" w:type="dxa"/>
          </w:tcPr>
          <w:p w14:paraId="5F30E06C"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 </w:t>
            </w:r>
          </w:p>
        </w:tc>
        <w:tc>
          <w:tcPr>
            <w:tcW w:w="4898" w:type="dxa"/>
          </w:tcPr>
          <w:p w14:paraId="711E8ADD"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Переведення в обов’язковому порядку на вакантні місця державного або регіонального замовлення в разі зарахування на навчання за іншими джерелами фінансування на відкриту або закриту (фіксовану) конкурсну пропозицію</w:t>
            </w:r>
          </w:p>
        </w:tc>
        <w:tc>
          <w:tcPr>
            <w:tcW w:w="521" w:type="dxa"/>
          </w:tcPr>
          <w:p w14:paraId="3BC23540"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 </w:t>
            </w:r>
          </w:p>
        </w:tc>
      </w:tr>
      <w:tr w:rsidR="00D55878" w:rsidRPr="005401AB" w14:paraId="1D5F9031" w14:textId="77777777" w:rsidTr="006F642A">
        <w:tc>
          <w:tcPr>
            <w:tcW w:w="4481" w:type="dxa"/>
          </w:tcPr>
          <w:p w14:paraId="1BF94C4B"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Особи, один з батьків яких загинув або помер внаслідок поранень, каліцтва, контузії чи інших ушкоджень здоров’я, одержаних під час участі у Революції Гідності</w:t>
            </w:r>
          </w:p>
        </w:tc>
        <w:tc>
          <w:tcPr>
            <w:tcW w:w="521" w:type="dxa"/>
          </w:tcPr>
          <w:p w14:paraId="45F09184"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 </w:t>
            </w:r>
          </w:p>
        </w:tc>
        <w:tc>
          <w:tcPr>
            <w:tcW w:w="4898" w:type="dxa"/>
          </w:tcPr>
          <w:p w14:paraId="390B5E9A"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Переведення в обов’язковому порядку на вакантні місця державного або регіонального замовлення в разі зарахування на навчання за іншими джерелами фінансування на відкриту або закриту (фіксовану) конкурсну пропозицію</w:t>
            </w:r>
          </w:p>
        </w:tc>
        <w:tc>
          <w:tcPr>
            <w:tcW w:w="521" w:type="dxa"/>
          </w:tcPr>
          <w:p w14:paraId="04391822"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 </w:t>
            </w:r>
          </w:p>
        </w:tc>
      </w:tr>
      <w:tr w:rsidR="00D55878" w:rsidRPr="005401AB" w14:paraId="2829837D" w14:textId="77777777" w:rsidTr="006F642A">
        <w:tc>
          <w:tcPr>
            <w:tcW w:w="4481" w:type="dxa"/>
          </w:tcPr>
          <w:p w14:paraId="762B7859"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Особи, один з батьків яких є учасником бойових дій на території інших держав, який загинув (пропав безвісти) або помер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tc>
        <w:tc>
          <w:tcPr>
            <w:tcW w:w="521" w:type="dxa"/>
          </w:tcPr>
          <w:p w14:paraId="7CB4D248"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 </w:t>
            </w:r>
          </w:p>
        </w:tc>
        <w:tc>
          <w:tcPr>
            <w:tcW w:w="4898" w:type="dxa"/>
          </w:tcPr>
          <w:p w14:paraId="3FF42059"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Переведення в обов’язковому порядку на вакантні місця державного або регіонального замовлення в разі зарахування на навчання за іншими джерелами фінансування на відкриту або закриту (фіксовану) конкурсну пропозицію</w:t>
            </w:r>
          </w:p>
        </w:tc>
        <w:tc>
          <w:tcPr>
            <w:tcW w:w="521" w:type="dxa"/>
          </w:tcPr>
          <w:p w14:paraId="1389CA7B"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 </w:t>
            </w:r>
          </w:p>
        </w:tc>
      </w:tr>
      <w:tr w:rsidR="00D55878" w:rsidRPr="005401AB" w14:paraId="3A1F10CE" w14:textId="77777777" w:rsidTr="006F642A">
        <w:tc>
          <w:tcPr>
            <w:tcW w:w="4481" w:type="dxa"/>
          </w:tcPr>
          <w:p w14:paraId="5BA60BBB"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Особи, у яких один з батьків (</w:t>
            </w:r>
            <w:proofErr w:type="spellStart"/>
            <w:r w:rsidRPr="005401AB">
              <w:rPr>
                <w:lang w:val="uk-UA"/>
              </w:rPr>
              <w:t>усиновлювачів</w:t>
            </w:r>
            <w:proofErr w:type="spellEnd"/>
            <w:r w:rsidRPr="005401AB">
              <w:rPr>
                <w:lang w:val="uk-UA"/>
              </w:rPr>
              <w:t>) був військовослужбовцем, який загинув чи визнаний судом безвісно відсутньою особою під час виконання ним обов'язків військової служби</w:t>
            </w:r>
          </w:p>
        </w:tc>
        <w:tc>
          <w:tcPr>
            <w:tcW w:w="521" w:type="dxa"/>
          </w:tcPr>
          <w:p w14:paraId="0C1CDD0E"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 </w:t>
            </w:r>
          </w:p>
        </w:tc>
        <w:tc>
          <w:tcPr>
            <w:tcW w:w="4898" w:type="dxa"/>
          </w:tcPr>
          <w:p w14:paraId="4A590693"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Переведення в обов’язковому порядку на вакантні місця державного або регіонального замовлення в разі зарахування на навчання за іншими джерелами фінансування на відкриту або закриту (фіксовану) конкурсну пропозицію</w:t>
            </w:r>
          </w:p>
        </w:tc>
        <w:tc>
          <w:tcPr>
            <w:tcW w:w="521" w:type="dxa"/>
          </w:tcPr>
          <w:p w14:paraId="545E20D9"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 </w:t>
            </w:r>
          </w:p>
        </w:tc>
      </w:tr>
    </w:tbl>
    <w:p w14:paraId="4EE6E4FE" w14:textId="176F51D8" w:rsidR="00D55878" w:rsidRDefault="00D55878">
      <w:pPr>
        <w:ind w:left="0" w:hanging="2"/>
      </w:pPr>
    </w:p>
    <w:p w14:paraId="1447896A" w14:textId="77777777" w:rsidR="00D55878" w:rsidRDefault="00D55878">
      <w:pPr>
        <w:ind w:left="0" w:hanging="2"/>
      </w:pPr>
      <w:r>
        <w:br w:type="column"/>
      </w:r>
    </w:p>
    <w:tbl>
      <w:tblPr>
        <w:tblStyle w:val="ab"/>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1"/>
        <w:gridCol w:w="521"/>
        <w:gridCol w:w="4898"/>
        <w:gridCol w:w="521"/>
      </w:tblGrid>
      <w:tr w:rsidR="00D55878" w:rsidRPr="005401AB" w14:paraId="7B964520" w14:textId="77777777" w:rsidTr="004457AF">
        <w:tc>
          <w:tcPr>
            <w:tcW w:w="5002" w:type="dxa"/>
            <w:gridSpan w:val="2"/>
          </w:tcPr>
          <w:p w14:paraId="68F323C3" w14:textId="435CD901" w:rsidR="00D55878" w:rsidRPr="005401AB" w:rsidRDefault="00D55878" w:rsidP="00D55878">
            <w:pPr>
              <w:pBdr>
                <w:top w:val="nil"/>
                <w:left w:val="nil"/>
                <w:bottom w:val="nil"/>
                <w:right w:val="nil"/>
                <w:between w:val="nil"/>
              </w:pBdr>
              <w:spacing w:line="240" w:lineRule="auto"/>
              <w:ind w:left="0" w:hanging="2"/>
              <w:jc w:val="center"/>
              <w:rPr>
                <w:lang w:val="uk-UA"/>
              </w:rPr>
            </w:pPr>
            <w:r>
              <w:rPr>
                <w:b/>
                <w:lang w:val="en-US"/>
              </w:rPr>
              <w:t>1</w:t>
            </w:r>
          </w:p>
        </w:tc>
        <w:tc>
          <w:tcPr>
            <w:tcW w:w="5419" w:type="dxa"/>
            <w:gridSpan w:val="2"/>
          </w:tcPr>
          <w:p w14:paraId="40E3BB53" w14:textId="5BFDE396" w:rsidR="00D55878" w:rsidRPr="005401AB" w:rsidRDefault="00D55878" w:rsidP="00D55878">
            <w:pPr>
              <w:pBdr>
                <w:top w:val="nil"/>
                <w:left w:val="nil"/>
                <w:bottom w:val="nil"/>
                <w:right w:val="nil"/>
                <w:between w:val="nil"/>
              </w:pBdr>
              <w:spacing w:line="240" w:lineRule="auto"/>
              <w:ind w:left="0" w:hanging="2"/>
              <w:jc w:val="center"/>
              <w:rPr>
                <w:lang w:val="uk-UA"/>
              </w:rPr>
            </w:pPr>
            <w:r>
              <w:rPr>
                <w:b/>
                <w:lang w:val="en-US"/>
              </w:rPr>
              <w:t>2</w:t>
            </w:r>
          </w:p>
        </w:tc>
      </w:tr>
      <w:tr w:rsidR="00D55878" w:rsidRPr="005401AB" w14:paraId="24AD0957" w14:textId="77777777" w:rsidTr="006F642A">
        <w:tc>
          <w:tcPr>
            <w:tcW w:w="4481" w:type="dxa"/>
          </w:tcPr>
          <w:p w14:paraId="54D47EDC"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Особи, у яких один із батьків (</w:t>
            </w:r>
            <w:proofErr w:type="spellStart"/>
            <w:r w:rsidRPr="005401AB">
              <w:rPr>
                <w:lang w:val="uk-UA"/>
              </w:rPr>
              <w:t>усиновлювачів</w:t>
            </w:r>
            <w:proofErr w:type="spellEnd"/>
            <w:r w:rsidRPr="005401AB">
              <w:rPr>
                <w:lang w:val="uk-UA"/>
              </w:rPr>
              <w:t>) був поліцейським, який загинув чи визнаний судом безвісно відсутньою особою під час виконання ним службових обов'язків, протягом трьох років після здобуття відповідної загальної середньої освіти</w:t>
            </w:r>
          </w:p>
        </w:tc>
        <w:tc>
          <w:tcPr>
            <w:tcW w:w="521" w:type="dxa"/>
          </w:tcPr>
          <w:p w14:paraId="77139775"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 </w:t>
            </w:r>
          </w:p>
        </w:tc>
        <w:tc>
          <w:tcPr>
            <w:tcW w:w="4898" w:type="dxa"/>
          </w:tcPr>
          <w:p w14:paraId="45A66607"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Переведення в обов’язковому порядку на вакантні місця державного або регіонального замовлення в разі зарахування на навчання за іншими джерелами фінансування на відкриту або закриту (фіксовану) конкурсну пропозицію</w:t>
            </w:r>
          </w:p>
        </w:tc>
        <w:tc>
          <w:tcPr>
            <w:tcW w:w="521" w:type="dxa"/>
          </w:tcPr>
          <w:p w14:paraId="1BA50492"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 </w:t>
            </w:r>
          </w:p>
        </w:tc>
      </w:tr>
      <w:tr w:rsidR="00D55878" w:rsidRPr="005401AB" w14:paraId="4DEAA72E" w14:textId="77777777" w:rsidTr="006F642A">
        <w:tc>
          <w:tcPr>
            <w:tcW w:w="4481" w:type="dxa"/>
          </w:tcPr>
          <w:p w14:paraId="1D4C2034"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 xml:space="preserve">Особи з інвалідністю I, II груп та діти з інвалідністю віком до 18 років, яким не протипоказане навчання за обраною спеціальністю </w:t>
            </w:r>
          </w:p>
        </w:tc>
        <w:tc>
          <w:tcPr>
            <w:tcW w:w="521" w:type="dxa"/>
          </w:tcPr>
          <w:p w14:paraId="0C7C3D51"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 </w:t>
            </w:r>
          </w:p>
        </w:tc>
        <w:tc>
          <w:tcPr>
            <w:tcW w:w="4898" w:type="dxa"/>
          </w:tcPr>
          <w:p w14:paraId="1548F869"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Переведення (за наявності місць) на вакантні місця державного або регіонального замовлення в разі зарахування на навчання за іншими джерелами фінансування на відкриту або закриту (фіксовану) конкурсну пропозицію</w:t>
            </w:r>
          </w:p>
        </w:tc>
        <w:tc>
          <w:tcPr>
            <w:tcW w:w="521" w:type="dxa"/>
          </w:tcPr>
          <w:p w14:paraId="2B6E9F86"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 </w:t>
            </w:r>
          </w:p>
        </w:tc>
      </w:tr>
      <w:tr w:rsidR="00D55878" w:rsidRPr="005401AB" w14:paraId="4045E81F" w14:textId="77777777" w:rsidTr="006F642A">
        <w:tc>
          <w:tcPr>
            <w:tcW w:w="4481" w:type="dxa"/>
          </w:tcPr>
          <w:p w14:paraId="3E1C5ED6"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(категорія 1) та особи, які постійно проживали у зоні безумовного (обов'язкового) відселення з моменту аварії до прийняття постанови про відселення (категорія 2)</w:t>
            </w:r>
          </w:p>
        </w:tc>
        <w:tc>
          <w:tcPr>
            <w:tcW w:w="521" w:type="dxa"/>
          </w:tcPr>
          <w:p w14:paraId="616F0A63" w14:textId="77777777" w:rsidR="00D55878" w:rsidRPr="005401AB" w:rsidRDefault="00D55878" w:rsidP="00D55878">
            <w:pPr>
              <w:pBdr>
                <w:top w:val="nil"/>
                <w:left w:val="nil"/>
                <w:bottom w:val="nil"/>
                <w:right w:val="nil"/>
                <w:between w:val="nil"/>
              </w:pBdr>
              <w:spacing w:line="240" w:lineRule="auto"/>
              <w:ind w:left="0" w:hanging="2"/>
              <w:rPr>
                <w:lang w:val="uk-UA"/>
              </w:rPr>
            </w:pPr>
          </w:p>
        </w:tc>
        <w:tc>
          <w:tcPr>
            <w:tcW w:w="4898" w:type="dxa"/>
          </w:tcPr>
          <w:p w14:paraId="7BEE5F36"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Переведення (за наявності місць) на вакантні місця державного або регіонального замовлення в разі зарахування на навчання за іншими джерелами фінансування на відкриту або закриту (фіксовану) конкурсну пропозицію</w:t>
            </w:r>
          </w:p>
        </w:tc>
        <w:tc>
          <w:tcPr>
            <w:tcW w:w="521" w:type="dxa"/>
          </w:tcPr>
          <w:p w14:paraId="02C7A65D" w14:textId="77777777" w:rsidR="00D55878" w:rsidRPr="005401AB" w:rsidRDefault="00D55878" w:rsidP="00D55878">
            <w:pPr>
              <w:pBdr>
                <w:top w:val="nil"/>
                <w:left w:val="nil"/>
                <w:bottom w:val="nil"/>
                <w:right w:val="nil"/>
                <w:between w:val="nil"/>
              </w:pBdr>
              <w:spacing w:line="240" w:lineRule="auto"/>
              <w:ind w:left="0" w:hanging="2"/>
              <w:rPr>
                <w:lang w:val="uk-UA"/>
              </w:rPr>
            </w:pPr>
          </w:p>
        </w:tc>
      </w:tr>
      <w:tr w:rsidR="00D55878" w:rsidRPr="005401AB" w14:paraId="2D9BCFB2" w14:textId="77777777" w:rsidTr="006F642A">
        <w:tc>
          <w:tcPr>
            <w:tcW w:w="4481" w:type="dxa"/>
          </w:tcPr>
          <w:p w14:paraId="54E6B8CA"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Діти осіб, особи з їх числа, які в рік вступу здобули освітній рівень, на основі якого відбувається вступ, визнаних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w:t>
            </w:r>
          </w:p>
        </w:tc>
        <w:tc>
          <w:tcPr>
            <w:tcW w:w="521" w:type="dxa"/>
          </w:tcPr>
          <w:p w14:paraId="324C11D3"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 </w:t>
            </w:r>
          </w:p>
        </w:tc>
        <w:tc>
          <w:tcPr>
            <w:tcW w:w="4898" w:type="dxa"/>
          </w:tcPr>
          <w:p w14:paraId="2B548978"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Переведення (за наявності місць) на вакантні місця державного або регіонального замовлення в разі зарахування на навчання за іншими джерелами фінансування на відкриту або закриту (фіксовану) конкурсну пропозицію</w:t>
            </w:r>
          </w:p>
        </w:tc>
        <w:tc>
          <w:tcPr>
            <w:tcW w:w="521" w:type="dxa"/>
          </w:tcPr>
          <w:p w14:paraId="652A94D0"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 </w:t>
            </w:r>
          </w:p>
        </w:tc>
      </w:tr>
      <w:tr w:rsidR="00D55878" w:rsidRPr="005401AB" w14:paraId="4B0D0180" w14:textId="77777777" w:rsidTr="006F642A">
        <w:tc>
          <w:tcPr>
            <w:tcW w:w="4481" w:type="dxa"/>
          </w:tcPr>
          <w:p w14:paraId="4D7BBB3A"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інвалідами I або II групи</w:t>
            </w:r>
          </w:p>
        </w:tc>
        <w:tc>
          <w:tcPr>
            <w:tcW w:w="521" w:type="dxa"/>
          </w:tcPr>
          <w:p w14:paraId="1ECA7890"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 </w:t>
            </w:r>
          </w:p>
        </w:tc>
        <w:tc>
          <w:tcPr>
            <w:tcW w:w="4898" w:type="dxa"/>
          </w:tcPr>
          <w:p w14:paraId="587FF3A5"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Переведення (за наявності місць) на вакантні місця державного або регіонального замовлення в разі зарахування на навчання за іншими джерелами фінансування на відкриту або закриту (фіксовану) конкурсну пропозицію</w:t>
            </w:r>
          </w:p>
        </w:tc>
        <w:tc>
          <w:tcPr>
            <w:tcW w:w="521" w:type="dxa"/>
          </w:tcPr>
          <w:p w14:paraId="3FB2D7C9"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 </w:t>
            </w:r>
          </w:p>
        </w:tc>
      </w:tr>
    </w:tbl>
    <w:p w14:paraId="712E114E" w14:textId="4AA2E31E" w:rsidR="00F53130" w:rsidRDefault="00F53130">
      <w:pPr>
        <w:ind w:left="0" w:hanging="2"/>
      </w:pPr>
    </w:p>
    <w:p w14:paraId="3F9ED01E" w14:textId="77777777" w:rsidR="00F53130" w:rsidRDefault="00F53130">
      <w:pPr>
        <w:ind w:left="0" w:hanging="2"/>
      </w:pPr>
      <w:r>
        <w:br w:type="column"/>
      </w:r>
    </w:p>
    <w:tbl>
      <w:tblPr>
        <w:tblStyle w:val="ab"/>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1"/>
        <w:gridCol w:w="521"/>
        <w:gridCol w:w="4898"/>
        <w:gridCol w:w="521"/>
      </w:tblGrid>
      <w:tr w:rsidR="00F53130" w:rsidRPr="005401AB" w14:paraId="6340D986" w14:textId="77777777" w:rsidTr="00931A99">
        <w:tc>
          <w:tcPr>
            <w:tcW w:w="5002" w:type="dxa"/>
            <w:gridSpan w:val="2"/>
          </w:tcPr>
          <w:p w14:paraId="6542B8B2" w14:textId="77777777" w:rsidR="00F53130" w:rsidRPr="005401AB" w:rsidRDefault="00F53130" w:rsidP="00931A99">
            <w:pPr>
              <w:pBdr>
                <w:top w:val="nil"/>
                <w:left w:val="nil"/>
                <w:bottom w:val="nil"/>
                <w:right w:val="nil"/>
                <w:between w:val="nil"/>
              </w:pBdr>
              <w:spacing w:line="240" w:lineRule="auto"/>
              <w:ind w:left="0" w:hanging="2"/>
              <w:jc w:val="center"/>
              <w:rPr>
                <w:lang w:val="uk-UA"/>
              </w:rPr>
            </w:pPr>
            <w:r>
              <w:rPr>
                <w:b/>
                <w:lang w:val="en-US"/>
              </w:rPr>
              <w:t>1</w:t>
            </w:r>
          </w:p>
        </w:tc>
        <w:tc>
          <w:tcPr>
            <w:tcW w:w="5419" w:type="dxa"/>
            <w:gridSpan w:val="2"/>
          </w:tcPr>
          <w:p w14:paraId="4BB46984" w14:textId="77777777" w:rsidR="00F53130" w:rsidRPr="005401AB" w:rsidRDefault="00F53130" w:rsidP="00931A99">
            <w:pPr>
              <w:pBdr>
                <w:top w:val="nil"/>
                <w:left w:val="nil"/>
                <w:bottom w:val="nil"/>
                <w:right w:val="nil"/>
                <w:between w:val="nil"/>
              </w:pBdr>
              <w:spacing w:line="240" w:lineRule="auto"/>
              <w:ind w:left="0" w:hanging="2"/>
              <w:jc w:val="center"/>
              <w:rPr>
                <w:lang w:val="uk-UA"/>
              </w:rPr>
            </w:pPr>
            <w:r>
              <w:rPr>
                <w:b/>
                <w:lang w:val="en-US"/>
              </w:rPr>
              <w:t>2</w:t>
            </w:r>
          </w:p>
        </w:tc>
      </w:tr>
      <w:tr w:rsidR="00D55878" w:rsidRPr="005401AB" w14:paraId="146AD5E0" w14:textId="77777777" w:rsidTr="0053765B">
        <w:tc>
          <w:tcPr>
            <w:tcW w:w="4481" w:type="dxa"/>
          </w:tcPr>
          <w:p w14:paraId="64F33CC7"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Особи, які є внутрішньо переміщеними особами відповідно до Закону України «Про забезпечення прав і свобод внутрішньо переміщених осіб»</w:t>
            </w:r>
          </w:p>
        </w:tc>
        <w:tc>
          <w:tcPr>
            <w:tcW w:w="521" w:type="dxa"/>
          </w:tcPr>
          <w:p w14:paraId="626F847E"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 </w:t>
            </w:r>
          </w:p>
        </w:tc>
        <w:tc>
          <w:tcPr>
            <w:tcW w:w="4898" w:type="dxa"/>
          </w:tcPr>
          <w:p w14:paraId="6B3ACCAF"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 xml:space="preserve">Переведення (за наявності місць) на вакантні місця державного або регіонального замовлення в разі зарахування на навчання за іншими джерелами фінансування на відкриту або закриту (фіксовану) конкурсну пропозицію, на спеціальності, визначені у переліку спеціальностей, яким надається особлива підтримка </w:t>
            </w:r>
          </w:p>
        </w:tc>
        <w:tc>
          <w:tcPr>
            <w:tcW w:w="521" w:type="dxa"/>
          </w:tcPr>
          <w:p w14:paraId="49CB3987"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 </w:t>
            </w:r>
          </w:p>
        </w:tc>
      </w:tr>
      <w:tr w:rsidR="00D55878" w:rsidRPr="005401AB" w14:paraId="0A00A444" w14:textId="77777777" w:rsidTr="006F642A">
        <w:tc>
          <w:tcPr>
            <w:tcW w:w="4481" w:type="dxa"/>
          </w:tcPr>
          <w:p w14:paraId="619BA014"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Діти з багатодітних сімей (п'ятеро та більше дітей)</w:t>
            </w:r>
          </w:p>
        </w:tc>
        <w:tc>
          <w:tcPr>
            <w:tcW w:w="521" w:type="dxa"/>
          </w:tcPr>
          <w:p w14:paraId="2A5917D4"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 </w:t>
            </w:r>
          </w:p>
        </w:tc>
        <w:tc>
          <w:tcPr>
            <w:tcW w:w="4898" w:type="dxa"/>
          </w:tcPr>
          <w:p w14:paraId="36F3DD75"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 xml:space="preserve">Переведення (за наявності місць) на вакантні місця державного або регіонального замовлення в разі зарахування на навчання за іншими джерелами фінансування на відкриту або закриту (фіксовану) конкурсну пропозицію, на спеціальності, визначені у переліку спеціальностей, яким надається особлива підтримка </w:t>
            </w:r>
          </w:p>
        </w:tc>
        <w:tc>
          <w:tcPr>
            <w:tcW w:w="521" w:type="dxa"/>
          </w:tcPr>
          <w:p w14:paraId="4483A93F" w14:textId="77777777" w:rsidR="00D55878" w:rsidRPr="005401AB" w:rsidRDefault="00D55878" w:rsidP="00D55878">
            <w:pPr>
              <w:pBdr>
                <w:top w:val="nil"/>
                <w:left w:val="nil"/>
                <w:bottom w:val="nil"/>
                <w:right w:val="nil"/>
                <w:between w:val="nil"/>
              </w:pBdr>
              <w:spacing w:line="240" w:lineRule="auto"/>
              <w:ind w:left="0" w:hanging="2"/>
              <w:rPr>
                <w:lang w:val="uk-UA"/>
              </w:rPr>
            </w:pPr>
            <w:r w:rsidRPr="005401AB">
              <w:rPr>
                <w:lang w:val="uk-UA"/>
              </w:rPr>
              <w:t> </w:t>
            </w:r>
          </w:p>
        </w:tc>
      </w:tr>
    </w:tbl>
    <w:p w14:paraId="55AA7807" w14:textId="77777777" w:rsidR="00CC211C" w:rsidRPr="005401AB" w:rsidRDefault="0099485E">
      <w:pPr>
        <w:pBdr>
          <w:top w:val="nil"/>
          <w:left w:val="nil"/>
          <w:bottom w:val="nil"/>
          <w:right w:val="nil"/>
          <w:between w:val="nil"/>
        </w:pBdr>
        <w:spacing w:before="280" w:after="280" w:line="240" w:lineRule="auto"/>
        <w:ind w:left="0" w:hanging="2"/>
        <w:jc w:val="both"/>
        <w:rPr>
          <w:lang w:val="uk-UA"/>
        </w:rPr>
      </w:pPr>
      <w:r w:rsidRPr="005401AB">
        <w:rPr>
          <w:b/>
          <w:lang w:val="uk-UA"/>
        </w:rPr>
        <w:t>Примітка.</w:t>
      </w:r>
      <w:r w:rsidRPr="005401AB">
        <w:rPr>
          <w:lang w:val="uk-UA"/>
        </w:rPr>
        <w:t xml:space="preserve"> Цю форму заповнюють особи, які мають спеціальні умови щодо участі у конкурсному відборі під час вступу для здобуття вищої освіти та право на їх реалізацію за державним </w:t>
      </w:r>
      <w:r w:rsidR="00F9238E" w:rsidRPr="005401AB">
        <w:rPr>
          <w:lang w:val="uk-UA"/>
        </w:rPr>
        <w:t xml:space="preserve">або регіональним </w:t>
      </w:r>
      <w:r w:rsidRPr="005401AB">
        <w:rPr>
          <w:lang w:val="uk-UA"/>
        </w:rPr>
        <w:t>замовленням.</w:t>
      </w:r>
    </w:p>
    <w:p w14:paraId="07CB8EA5" w14:textId="77777777" w:rsidR="00F9238E" w:rsidRPr="005401AB" w:rsidRDefault="00F9238E">
      <w:pPr>
        <w:pBdr>
          <w:top w:val="nil"/>
          <w:left w:val="nil"/>
          <w:bottom w:val="nil"/>
          <w:right w:val="nil"/>
          <w:between w:val="nil"/>
        </w:pBdr>
        <w:spacing w:before="280" w:after="280" w:line="240" w:lineRule="auto"/>
        <w:ind w:left="0" w:hanging="2"/>
        <w:jc w:val="both"/>
        <w:rPr>
          <w:lang w:val="uk-UA"/>
        </w:rPr>
      </w:pPr>
    </w:p>
    <w:tbl>
      <w:tblPr>
        <w:tblStyle w:val="ac"/>
        <w:tblW w:w="10421" w:type="dxa"/>
        <w:tblLayout w:type="fixed"/>
        <w:tblLook w:val="0000" w:firstRow="0" w:lastRow="0" w:firstColumn="0" w:lastColumn="0" w:noHBand="0" w:noVBand="0"/>
      </w:tblPr>
      <w:tblGrid>
        <w:gridCol w:w="5210"/>
        <w:gridCol w:w="5211"/>
      </w:tblGrid>
      <w:tr w:rsidR="00CC211C" w:rsidRPr="005401AB" w14:paraId="06593F85" w14:textId="77777777">
        <w:tc>
          <w:tcPr>
            <w:tcW w:w="5210" w:type="dxa"/>
          </w:tcPr>
          <w:p w14:paraId="272C0B36" w14:textId="3FE3C65C" w:rsidR="00CC211C" w:rsidRPr="005401AB" w:rsidRDefault="00CC211C">
            <w:pPr>
              <w:pBdr>
                <w:top w:val="nil"/>
                <w:left w:val="nil"/>
                <w:bottom w:val="nil"/>
                <w:right w:val="nil"/>
                <w:between w:val="nil"/>
              </w:pBdr>
              <w:spacing w:line="240" w:lineRule="auto"/>
              <w:ind w:left="0" w:hanging="2"/>
              <w:rPr>
                <w:lang w:val="uk-UA"/>
              </w:rPr>
            </w:pPr>
            <w:bookmarkStart w:id="0" w:name="_GoBack"/>
            <w:bookmarkEnd w:id="0"/>
          </w:p>
        </w:tc>
        <w:tc>
          <w:tcPr>
            <w:tcW w:w="5211" w:type="dxa"/>
          </w:tcPr>
          <w:p w14:paraId="5FB6E417" w14:textId="7A0C2B3D" w:rsidR="00CC211C" w:rsidRPr="005401AB" w:rsidRDefault="00CC211C">
            <w:pPr>
              <w:pBdr>
                <w:top w:val="nil"/>
                <w:left w:val="nil"/>
                <w:bottom w:val="nil"/>
                <w:right w:val="nil"/>
                <w:between w:val="nil"/>
              </w:pBdr>
              <w:spacing w:line="240" w:lineRule="auto"/>
              <w:ind w:left="0" w:hanging="2"/>
              <w:jc w:val="right"/>
              <w:rPr>
                <w:lang w:val="uk-UA"/>
              </w:rPr>
            </w:pPr>
          </w:p>
        </w:tc>
      </w:tr>
    </w:tbl>
    <w:p w14:paraId="28E679C8" w14:textId="77777777" w:rsidR="00CC211C" w:rsidRPr="005401AB" w:rsidRDefault="00CC211C">
      <w:pPr>
        <w:pBdr>
          <w:top w:val="nil"/>
          <w:left w:val="nil"/>
          <w:bottom w:val="nil"/>
          <w:right w:val="nil"/>
          <w:between w:val="nil"/>
        </w:pBdr>
        <w:spacing w:before="280" w:after="280" w:line="240" w:lineRule="auto"/>
        <w:ind w:left="0" w:hanging="2"/>
        <w:jc w:val="both"/>
        <w:rPr>
          <w:lang w:val="uk-UA"/>
        </w:rPr>
      </w:pPr>
    </w:p>
    <w:p w14:paraId="2CDAA46E" w14:textId="77777777" w:rsidR="00CC211C" w:rsidRPr="005401AB" w:rsidRDefault="00CC211C">
      <w:pPr>
        <w:pBdr>
          <w:top w:val="nil"/>
          <w:left w:val="nil"/>
          <w:bottom w:val="nil"/>
          <w:right w:val="nil"/>
          <w:between w:val="nil"/>
        </w:pBdr>
        <w:spacing w:line="240" w:lineRule="auto"/>
        <w:ind w:left="0" w:hanging="2"/>
        <w:jc w:val="both"/>
        <w:rPr>
          <w:lang w:val="uk-UA"/>
        </w:rPr>
      </w:pPr>
    </w:p>
    <w:sectPr w:rsidR="00CC211C" w:rsidRPr="005401AB" w:rsidSect="00F53130">
      <w:headerReference w:type="even" r:id="rId7"/>
      <w:headerReference w:type="default" r:id="rId8"/>
      <w:footerReference w:type="even" r:id="rId9"/>
      <w:footerReference w:type="default" r:id="rId10"/>
      <w:headerReference w:type="first" r:id="rId11"/>
      <w:footerReference w:type="first" r:id="rId12"/>
      <w:pgSz w:w="11906" w:h="16838"/>
      <w:pgMar w:top="851" w:right="567" w:bottom="851" w:left="1134"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C5262" w14:textId="77777777" w:rsidR="000306BB" w:rsidRDefault="000306BB" w:rsidP="00D55878">
      <w:pPr>
        <w:spacing w:line="240" w:lineRule="auto"/>
        <w:ind w:left="0" w:hanging="2"/>
      </w:pPr>
      <w:r>
        <w:separator/>
      </w:r>
    </w:p>
  </w:endnote>
  <w:endnote w:type="continuationSeparator" w:id="0">
    <w:p w14:paraId="007B3EBF" w14:textId="77777777" w:rsidR="000306BB" w:rsidRDefault="000306BB" w:rsidP="00D5587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C6B61" w14:textId="77777777" w:rsidR="00D55878" w:rsidRDefault="00D55878">
    <w:pPr>
      <w:pStyle w:val="af"/>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8573" w14:textId="77777777" w:rsidR="00D55878" w:rsidRDefault="00D55878">
    <w:pPr>
      <w:pStyle w:val="af"/>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43DD9" w14:textId="77777777" w:rsidR="00D55878" w:rsidRDefault="00D55878">
    <w:pPr>
      <w:pStyle w:val="af"/>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39F1B" w14:textId="77777777" w:rsidR="000306BB" w:rsidRDefault="000306BB" w:rsidP="00D55878">
      <w:pPr>
        <w:spacing w:line="240" w:lineRule="auto"/>
        <w:ind w:left="0" w:hanging="2"/>
      </w:pPr>
      <w:r>
        <w:separator/>
      </w:r>
    </w:p>
  </w:footnote>
  <w:footnote w:type="continuationSeparator" w:id="0">
    <w:p w14:paraId="39827CD3" w14:textId="77777777" w:rsidR="000306BB" w:rsidRDefault="000306BB" w:rsidP="00D5587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06A22" w14:textId="77777777" w:rsidR="00D55878" w:rsidRDefault="00D55878">
    <w:pPr>
      <w:pStyle w:val="ad"/>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801935"/>
      <w:docPartObj>
        <w:docPartGallery w:val="Page Numbers (Top of Page)"/>
        <w:docPartUnique/>
      </w:docPartObj>
    </w:sdtPr>
    <w:sdtEndPr/>
    <w:sdtContent>
      <w:p w14:paraId="05EF75E2" w14:textId="34C7DF6B" w:rsidR="00D55878" w:rsidRDefault="00D55878" w:rsidP="00F53130">
        <w:pPr>
          <w:pStyle w:val="ad"/>
          <w:ind w:left="0" w:hanging="2"/>
          <w:jc w:val="center"/>
        </w:pPr>
        <w:r>
          <w:fldChar w:fldCharType="begin"/>
        </w:r>
        <w:r>
          <w:instrText>PAGE   \* MERGEFORMAT</w:instrText>
        </w:r>
        <w:r>
          <w:fldChar w:fldCharType="separate"/>
        </w:r>
        <w:r w:rsidR="000D0CC0" w:rsidRPr="000D0CC0">
          <w:rPr>
            <w:noProof/>
            <w:lang w:val="uk-UA"/>
          </w:rPr>
          <w:t>6</w:t>
        </w:r>
        <w: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DEC6C" w14:textId="77777777" w:rsidR="00D55878" w:rsidRDefault="00D55878">
    <w:pPr>
      <w:pStyle w:val="ad"/>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1C"/>
    <w:rsid w:val="000306BB"/>
    <w:rsid w:val="000D0CC0"/>
    <w:rsid w:val="001F1F2F"/>
    <w:rsid w:val="00386F52"/>
    <w:rsid w:val="003E57F4"/>
    <w:rsid w:val="00433877"/>
    <w:rsid w:val="00443BC7"/>
    <w:rsid w:val="00472876"/>
    <w:rsid w:val="00521A52"/>
    <w:rsid w:val="005401AB"/>
    <w:rsid w:val="00694F18"/>
    <w:rsid w:val="006F642A"/>
    <w:rsid w:val="00733606"/>
    <w:rsid w:val="0099485E"/>
    <w:rsid w:val="00A441AE"/>
    <w:rsid w:val="00AF291E"/>
    <w:rsid w:val="00C63EE2"/>
    <w:rsid w:val="00CC211C"/>
    <w:rsid w:val="00D55878"/>
    <w:rsid w:val="00F019D5"/>
    <w:rsid w:val="00F53130"/>
    <w:rsid w:val="00F923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B5DC2"/>
  <w15:docId w15:val="{89092D16-4680-41DD-BA1E-05C184E8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hanging="1"/>
      <w:textDirection w:val="btLr"/>
      <w:textAlignment w:val="top"/>
      <w:outlineLvl w:val="0"/>
    </w:pPr>
    <w:rPr>
      <w:position w:val="-1"/>
      <w:lang w:val="ru-RU" w:eastAsia="ru-RU"/>
    </w:rPr>
  </w:style>
  <w:style w:type="paragraph" w:styleId="1">
    <w:name w:val="heading 1"/>
    <w:basedOn w:val="a"/>
    <w:next w:val="a"/>
    <w:pPr>
      <w:keepNext/>
      <w:keepLines/>
      <w:spacing w:before="480" w:after="120"/>
    </w:pPr>
    <w:rPr>
      <w:b/>
      <w:sz w:val="48"/>
      <w:szCs w:val="48"/>
    </w:rPr>
  </w:style>
  <w:style w:type="paragraph" w:styleId="2">
    <w:name w:val="heading 2"/>
    <w:basedOn w:val="a"/>
    <w:pPr>
      <w:spacing w:before="100" w:beforeAutospacing="1" w:after="100" w:afterAutospacing="1"/>
      <w:outlineLvl w:val="1"/>
    </w:pPr>
    <w:rPr>
      <w:b/>
      <w:bCs/>
      <w:sz w:val="36"/>
      <w:szCs w:val="36"/>
    </w:rPr>
  </w:style>
  <w:style w:type="paragraph" w:styleId="3">
    <w:name w:val="heading 3"/>
    <w:basedOn w:val="a"/>
    <w:pPr>
      <w:spacing w:before="100" w:beforeAutospacing="1" w:after="100" w:afterAutospacing="1"/>
      <w:outlineLvl w:val="2"/>
    </w:pPr>
    <w:rPr>
      <w:b/>
      <w:bCs/>
      <w:sz w:val="27"/>
      <w:szCs w:val="27"/>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Normal (Web)"/>
    <w:basedOn w:val="a"/>
    <w:pPr>
      <w:spacing w:before="100" w:beforeAutospacing="1" w:after="100" w:afterAutospacing="1"/>
    </w:pPr>
  </w:style>
  <w:style w:type="table" w:styleId="a5">
    <w:name w:val="Table Grid"/>
    <w:basedOn w:val="TableNormal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ru-RU" w:eastAsia="ru-RU"/>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paragraph" w:styleId="ad">
    <w:name w:val="header"/>
    <w:basedOn w:val="a"/>
    <w:link w:val="ae"/>
    <w:uiPriority w:val="99"/>
    <w:unhideWhenUsed/>
    <w:rsid w:val="00D55878"/>
    <w:pPr>
      <w:tabs>
        <w:tab w:val="center" w:pos="4819"/>
        <w:tab w:val="right" w:pos="9639"/>
      </w:tabs>
      <w:spacing w:line="240" w:lineRule="auto"/>
    </w:pPr>
  </w:style>
  <w:style w:type="character" w:customStyle="1" w:styleId="ae">
    <w:name w:val="Верхний колонтитул Знак"/>
    <w:basedOn w:val="a0"/>
    <w:link w:val="ad"/>
    <w:uiPriority w:val="99"/>
    <w:rsid w:val="00D55878"/>
    <w:rPr>
      <w:position w:val="-1"/>
      <w:lang w:val="ru-RU" w:eastAsia="ru-RU"/>
    </w:rPr>
  </w:style>
  <w:style w:type="paragraph" w:styleId="af">
    <w:name w:val="footer"/>
    <w:basedOn w:val="a"/>
    <w:link w:val="af0"/>
    <w:uiPriority w:val="99"/>
    <w:unhideWhenUsed/>
    <w:rsid w:val="00D55878"/>
    <w:pPr>
      <w:tabs>
        <w:tab w:val="center" w:pos="4819"/>
        <w:tab w:val="right" w:pos="9639"/>
      </w:tabs>
      <w:spacing w:line="240" w:lineRule="auto"/>
    </w:pPr>
  </w:style>
  <w:style w:type="character" w:customStyle="1" w:styleId="af0">
    <w:name w:val="Нижний колонтитул Знак"/>
    <w:basedOn w:val="a0"/>
    <w:link w:val="af"/>
    <w:uiPriority w:val="99"/>
    <w:rsid w:val="00D55878"/>
    <w:rPr>
      <w:position w:val="-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197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IfUcRpZVdi9mxyZi1aHBFYQO5Q==">AMUW2mVhOcGiGAnSMQSKBgisiCm7vYnuaddafUA2T1tJZ69yHFq+J8XKp2y2eDjJ1ZJfXUv4niaZ3B5g6no3YqiVbrx5Ij0x29k26K6g+FLVjEx5eflgHgw=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8451</Words>
  <Characters>4818</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Кернична Анжеліка Євгенівна</dc:creator>
  <cp:lastModifiedBy>Шикова Олена Миколаївна</cp:lastModifiedBy>
  <cp:revision>3</cp:revision>
  <dcterms:created xsi:type="dcterms:W3CDTF">2023-07-17T15:41:00Z</dcterms:created>
  <dcterms:modified xsi:type="dcterms:W3CDTF">2023-07-18T06:42:00Z</dcterms:modified>
</cp:coreProperties>
</file>