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403" w:right="1272" w:hanging="1758"/>
        <w:spacing w:after="0" w:line="238" w:lineRule="auto"/>
        <w:tabs>
          <w:tab w:leader="none" w:pos="4382" w:val="left"/>
        </w:tabs>
        <w:rPr>
          <w:sz w:val="20"/>
          <w:szCs w:val="20"/>
          <w:color w:val="auto"/>
        </w:rPr>
      </w:pPr>
      <w:r>
        <w:rPr>
          <w:rFonts w:ascii="Arial" w:cs="Arial" w:eastAsia="Arial" w:hAnsi="Arial"/>
          <w:sz w:val="56"/>
          <w:szCs w:val="56"/>
          <w:b w:val="1"/>
          <w:bCs w:val="1"/>
          <w:color w:val="auto"/>
          <w:vertAlign w:val="superscript"/>
        </w:rPr>
        <w:drawing>
          <wp:anchor simplePos="0" relativeHeight="251657728" behindDoc="1" locked="0" layoutInCell="0" allowOverlap="1">
            <wp:simplePos x="0" y="0"/>
            <wp:positionH relativeFrom="page">
              <wp:posOffset>1295400</wp:posOffset>
            </wp:positionH>
            <wp:positionV relativeFrom="page">
              <wp:posOffset>895985</wp:posOffset>
            </wp:positionV>
            <wp:extent cx="67500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75005" cy="865505"/>
                    </a:xfrm>
                    <a:prstGeom prst="rect">
                      <a:avLst/>
                    </a:prstGeom>
                    <a:noFill/>
                  </pic:spPr>
                </pic:pic>
              </a:graphicData>
            </a:graphic>
          </wp:anchor>
        </w:drawing>
        <w:t>УКРАЇНА</w:t>
      </w:r>
      <w:r>
        <w:rPr>
          <w:sz w:val="20"/>
          <w:szCs w:val="20"/>
          <w:color w:val="auto"/>
        </w:rPr>
        <w:tab/>
      </w:r>
      <w:r>
        <w:rPr>
          <w:rFonts w:ascii="Arial" w:cs="Arial" w:eastAsia="Arial" w:hAnsi="Arial"/>
          <w:sz w:val="20"/>
          <w:szCs w:val="20"/>
          <w:b w:val="1"/>
          <w:bCs w:val="1"/>
          <w:color w:val="auto"/>
        </w:rPr>
        <w:t xml:space="preserve">(19) </w:t>
      </w:r>
      <w:r>
        <w:rPr>
          <w:rFonts w:ascii="Arial" w:cs="Arial" w:eastAsia="Arial" w:hAnsi="Arial"/>
          <w:sz w:val="37"/>
          <w:szCs w:val="37"/>
          <w:b w:val="1"/>
          <w:bCs w:val="1"/>
          <w:color w:val="auto"/>
        </w:rPr>
        <w:t>UA</w:t>
      </w:r>
      <w:r>
        <w:rPr>
          <w:rFonts w:ascii="Arial" w:cs="Arial" w:eastAsia="Arial" w:hAnsi="Arial"/>
          <w:sz w:val="20"/>
          <w:szCs w:val="20"/>
          <w:b w:val="1"/>
          <w:bCs w:val="1"/>
          <w:color w:val="auto"/>
        </w:rPr>
        <w:t xml:space="preserve"> (11) </w:t>
      </w:r>
      <w:r>
        <w:rPr>
          <w:rFonts w:ascii="Arial" w:cs="Arial" w:eastAsia="Arial" w:hAnsi="Arial"/>
          <w:sz w:val="37"/>
          <w:szCs w:val="37"/>
          <w:b w:val="1"/>
          <w:bCs w:val="1"/>
          <w:color w:val="auto"/>
        </w:rPr>
        <w:t>107872</w:t>
      </w:r>
      <w:r>
        <w:rPr>
          <w:rFonts w:ascii="Arial" w:cs="Arial" w:eastAsia="Arial" w:hAnsi="Arial"/>
          <w:sz w:val="20"/>
          <w:szCs w:val="20"/>
          <w:b w:val="1"/>
          <w:bCs w:val="1"/>
          <w:color w:val="auto"/>
        </w:rPr>
        <w:t xml:space="preserve"> (13) </w:t>
      </w:r>
      <w:r>
        <w:rPr>
          <w:rFonts w:ascii="Arial" w:cs="Arial" w:eastAsia="Arial" w:hAnsi="Arial"/>
          <w:sz w:val="37"/>
          <w:szCs w:val="37"/>
          <w:b w:val="1"/>
          <w:bCs w:val="1"/>
          <w:color w:val="auto"/>
        </w:rPr>
        <w:t>U</w:t>
      </w:r>
      <w:r>
        <w:rPr>
          <w:rFonts w:ascii="Arial" w:cs="Arial" w:eastAsia="Arial" w:hAnsi="Arial"/>
          <w:sz w:val="20"/>
          <w:szCs w:val="20"/>
          <w:b w:val="1"/>
          <w:bCs w:val="1"/>
          <w:color w:val="auto"/>
        </w:rPr>
        <w:t xml:space="preserve"> (51) </w:t>
      </w:r>
      <w:r>
        <w:rPr>
          <w:rFonts w:ascii="Arial" w:cs="Arial" w:eastAsia="Arial" w:hAnsi="Arial"/>
          <w:sz w:val="24"/>
          <w:szCs w:val="24"/>
          <w:color w:val="auto"/>
        </w:rPr>
        <w:t>МПК</w:t>
      </w:r>
    </w:p>
    <w:p>
      <w:pPr>
        <w:spacing w:after="0" w:line="6" w:lineRule="exact"/>
        <w:rPr>
          <w:sz w:val="24"/>
          <w:szCs w:val="24"/>
          <w:color w:val="auto"/>
        </w:rPr>
      </w:pPr>
    </w:p>
    <w:p>
      <w:pPr>
        <w:ind w:left="4783"/>
        <w:spacing w:after="0"/>
        <w:rPr>
          <w:sz w:val="20"/>
          <w:szCs w:val="20"/>
          <w:color w:val="auto"/>
        </w:rPr>
      </w:pPr>
      <w:r>
        <w:rPr>
          <w:rFonts w:ascii="Arial" w:cs="Arial" w:eastAsia="Arial" w:hAnsi="Arial"/>
          <w:sz w:val="24"/>
          <w:szCs w:val="24"/>
          <w:b w:val="1"/>
          <w:bCs w:val="1"/>
          <w:i w:val="1"/>
          <w:iCs w:val="1"/>
          <w:color w:val="auto"/>
        </w:rPr>
        <w:t xml:space="preserve">A01B 21/02 </w:t>
      </w:r>
      <w:r>
        <w:rPr>
          <w:rFonts w:ascii="Arial" w:cs="Arial" w:eastAsia="Arial" w:hAnsi="Arial"/>
          <w:sz w:val="24"/>
          <w:szCs w:val="24"/>
          <w:color w:val="auto"/>
        </w:rPr>
        <w:t>(2006.01)</w:t>
      </w:r>
    </w:p>
    <w:p>
      <w:pPr>
        <w:spacing w:after="0" w:line="200" w:lineRule="exact"/>
        <w:rPr>
          <w:sz w:val="24"/>
          <w:szCs w:val="24"/>
          <w:color w:val="auto"/>
        </w:rPr>
      </w:pPr>
    </w:p>
    <w:p>
      <w:pPr>
        <w:spacing w:after="0" w:line="241" w:lineRule="exact"/>
        <w:rPr>
          <w:sz w:val="24"/>
          <w:szCs w:val="24"/>
          <w:color w:val="auto"/>
        </w:rPr>
      </w:pPr>
    </w:p>
    <w:p>
      <w:pPr>
        <w:jc w:val="center"/>
        <w:ind w:right="7229"/>
        <w:spacing w:after="0"/>
        <w:rPr>
          <w:sz w:val="20"/>
          <w:szCs w:val="20"/>
          <w:color w:val="auto"/>
        </w:rPr>
      </w:pPr>
      <w:r>
        <w:rPr>
          <w:rFonts w:ascii="Arial" w:cs="Arial" w:eastAsia="Arial" w:hAnsi="Arial"/>
          <w:sz w:val="16"/>
          <w:szCs w:val="16"/>
          <w:b w:val="1"/>
          <w:bCs w:val="1"/>
          <w:color w:val="auto"/>
        </w:rPr>
        <w:t>ДЕРЖАВНА СЛУЖБА</w:t>
      </w:r>
    </w:p>
    <w:p>
      <w:pPr>
        <w:spacing w:after="0" w:line="1" w:lineRule="exact"/>
        <w:rPr>
          <w:sz w:val="24"/>
          <w:szCs w:val="24"/>
          <w:color w:val="auto"/>
        </w:rPr>
      </w:pPr>
    </w:p>
    <w:p>
      <w:pPr>
        <w:jc w:val="center"/>
        <w:ind w:right="7229"/>
        <w:spacing w:after="0"/>
        <w:rPr>
          <w:sz w:val="20"/>
          <w:szCs w:val="20"/>
          <w:color w:val="auto"/>
        </w:rPr>
      </w:pPr>
      <w:r>
        <w:rPr>
          <w:rFonts w:ascii="Arial" w:cs="Arial" w:eastAsia="Arial" w:hAnsi="Arial"/>
          <w:sz w:val="16"/>
          <w:szCs w:val="16"/>
          <w:b w:val="1"/>
          <w:bCs w:val="1"/>
          <w:color w:val="auto"/>
        </w:rPr>
        <w:t>ІНТЕЛЕКТУАЛЬНОЇ</w:t>
      </w:r>
    </w:p>
    <w:p>
      <w:pPr>
        <w:jc w:val="center"/>
        <w:ind w:right="7249"/>
        <w:spacing w:after="0" w:line="237" w:lineRule="auto"/>
        <w:rPr>
          <w:sz w:val="20"/>
          <w:szCs w:val="20"/>
          <w:color w:val="auto"/>
        </w:rPr>
      </w:pPr>
      <w:r>
        <w:rPr>
          <w:rFonts w:ascii="Arial" w:cs="Arial" w:eastAsia="Arial" w:hAnsi="Arial"/>
          <w:sz w:val="16"/>
          <w:szCs w:val="16"/>
          <w:b w:val="1"/>
          <w:bCs w:val="1"/>
          <w:color w:val="auto"/>
        </w:rPr>
        <w:t>ВЛАСНОСТІ</w:t>
      </w:r>
    </w:p>
    <w:p>
      <w:pPr>
        <w:spacing w:after="0" w:line="2" w:lineRule="exact"/>
        <w:rPr>
          <w:sz w:val="24"/>
          <w:szCs w:val="24"/>
          <w:color w:val="auto"/>
        </w:rPr>
      </w:pPr>
    </w:p>
    <w:p>
      <w:pPr>
        <w:jc w:val="center"/>
        <w:ind w:right="7229"/>
        <w:spacing w:after="0"/>
        <w:rPr>
          <w:sz w:val="20"/>
          <w:szCs w:val="20"/>
          <w:color w:val="auto"/>
        </w:rPr>
      </w:pPr>
      <w:r>
        <w:rPr>
          <w:rFonts w:ascii="Arial" w:cs="Arial" w:eastAsia="Arial" w:hAnsi="Arial"/>
          <w:sz w:val="16"/>
          <w:szCs w:val="16"/>
          <w:b w:val="1"/>
          <w:bCs w:val="1"/>
          <w:color w:val="auto"/>
        </w:rPr>
        <w:t>УКРАЇНИ</w:t>
      </w:r>
    </w:p>
    <w:p>
      <w:pPr>
        <w:spacing w:after="0" w:line="200" w:lineRule="exact"/>
        <w:rPr>
          <w:sz w:val="24"/>
          <w:szCs w:val="24"/>
          <w:color w:val="auto"/>
        </w:rPr>
      </w:pPr>
    </w:p>
    <w:p>
      <w:pPr>
        <w:spacing w:after="0" w:line="327" w:lineRule="exact"/>
        <w:rPr>
          <w:sz w:val="24"/>
          <w:szCs w:val="24"/>
          <w:color w:val="auto"/>
        </w:rPr>
      </w:pPr>
    </w:p>
    <w:p>
      <w:pPr>
        <w:ind w:left="383" w:hanging="383"/>
        <w:spacing w:after="0"/>
        <w:tabs>
          <w:tab w:leader="none" w:pos="383" w:val="left"/>
        </w:tabs>
        <w:numPr>
          <w:ilvl w:val="0"/>
          <w:numId w:val="1"/>
        </w:numPr>
        <w:rPr>
          <w:rFonts w:ascii="Arial" w:cs="Arial" w:eastAsia="Arial" w:hAnsi="Arial"/>
          <w:sz w:val="18"/>
          <w:szCs w:val="18"/>
          <w:b w:val="1"/>
          <w:bCs w:val="1"/>
          <w:color w:val="auto"/>
        </w:rPr>
      </w:pPr>
      <w:r>
        <w:rPr>
          <w:rFonts w:ascii="Arial" w:cs="Arial" w:eastAsia="Arial" w:hAnsi="Arial"/>
          <w:sz w:val="24"/>
          <w:szCs w:val="24"/>
          <w:b w:val="1"/>
          <w:bCs w:val="1"/>
          <w:color w:val="auto"/>
        </w:rPr>
        <w:t>ОПИС ДО ПАТЕНТУ НА КОРИСНУ МОДЕЛЬ</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-12700</wp:posOffset>
            </wp:positionH>
            <wp:positionV relativeFrom="paragraph">
              <wp:posOffset>13970</wp:posOffset>
            </wp:positionV>
            <wp:extent cx="5803265" cy="16510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03265" cy="1651000"/>
                    </a:xfrm>
                    <a:prstGeom prst="rect">
                      <a:avLst/>
                    </a:prstGeom>
                    <a:noFill/>
                  </pic:spPr>
                </pic:pic>
              </a:graphicData>
            </a:graphic>
          </wp:anchor>
        </w:drawing>
      </w:r>
    </w:p>
    <w:p>
      <w:pPr>
        <w:sectPr>
          <w:pgSz w:w="11900" w:h="16838" w:orient="portrait"/>
          <w:cols w:equalWidth="0" w:num="1">
            <w:col w:w="9835"/>
          </w:cols>
          <w:pgMar w:left="1277" w:top="1417" w:right="794" w:bottom="1440" w:gutter="0" w:footer="0" w:header="0"/>
        </w:sectPr>
      </w:pPr>
    </w:p>
    <w:p>
      <w:pPr>
        <w:spacing w:after="0" w:line="317" w:lineRule="exact"/>
        <w:rPr>
          <w:sz w:val="24"/>
          <w:szCs w:val="24"/>
          <w:color w:val="auto"/>
        </w:rPr>
      </w:pPr>
    </w:p>
    <w:tbl>
      <w:tblPr>
        <w:tblLayout w:type="fixed"/>
        <w:tblInd w:w="43" w:type="dxa"/>
        <w:tblCellMar>
          <w:top w:w="0" w:type="dxa"/>
          <w:left w:w="0" w:type="dxa"/>
          <w:bottom w:w="0" w:type="dxa"/>
          <w:right w:w="0" w:type="dxa"/>
        </w:tblCellMar>
      </w:tblPr>
      <w:tr>
        <w:trPr>
          <w:trHeight w:val="207"/>
        </w:trPr>
        <w:tc>
          <w:tcPr>
            <w:tcW w:w="1840" w:type="dxa"/>
            <w:vAlign w:val="bottom"/>
          </w:tcPr>
          <w:p>
            <w:pPr>
              <w:spacing w:after="0"/>
              <w:rPr>
                <w:sz w:val="20"/>
                <w:szCs w:val="20"/>
                <w:color w:val="auto"/>
              </w:rPr>
            </w:pPr>
            <w:r>
              <w:rPr>
                <w:rFonts w:ascii="Arial" w:cs="Arial" w:eastAsia="Arial" w:hAnsi="Arial"/>
                <w:sz w:val="18"/>
                <w:szCs w:val="18"/>
                <w:b w:val="1"/>
                <w:bCs w:val="1"/>
                <w:color w:val="auto"/>
              </w:rPr>
              <w:t xml:space="preserve">(21)  </w:t>
            </w:r>
            <w:r>
              <w:rPr>
                <w:rFonts w:ascii="Arial" w:cs="Arial" w:eastAsia="Arial" w:hAnsi="Arial"/>
                <w:sz w:val="16"/>
                <w:szCs w:val="16"/>
                <w:color w:val="auto"/>
              </w:rPr>
              <w:t>Номер заявки:</w:t>
            </w:r>
          </w:p>
        </w:tc>
        <w:tc>
          <w:tcPr>
            <w:tcW w:w="1460" w:type="dxa"/>
            <w:vAlign w:val="bottom"/>
          </w:tcPr>
          <w:p>
            <w:pPr>
              <w:ind w:left="340"/>
              <w:spacing w:after="0"/>
              <w:rPr>
                <w:sz w:val="20"/>
                <w:szCs w:val="20"/>
                <w:color w:val="auto"/>
              </w:rPr>
            </w:pPr>
            <w:r>
              <w:rPr>
                <w:rFonts w:ascii="Arial" w:cs="Arial" w:eastAsia="Arial" w:hAnsi="Arial"/>
                <w:sz w:val="18"/>
                <w:szCs w:val="18"/>
                <w:b w:val="1"/>
                <w:bCs w:val="1"/>
                <w:color w:val="auto"/>
                <w:w w:val="98"/>
              </w:rPr>
              <w:t>u 2015 12561</w:t>
            </w:r>
          </w:p>
        </w:tc>
      </w:tr>
    </w:tbl>
    <w:p>
      <w:pPr>
        <w:spacing w:after="0" w:line="59" w:lineRule="exact"/>
        <w:rPr>
          <w:sz w:val="24"/>
          <w:szCs w:val="24"/>
          <w:color w:val="auto"/>
        </w:rPr>
      </w:pPr>
    </w:p>
    <w:p>
      <w:pPr>
        <w:ind w:left="483" w:hanging="440"/>
        <w:spacing w:after="0"/>
        <w:tabs>
          <w:tab w:leader="none" w:pos="483" w:val="left"/>
        </w:tabs>
        <w:numPr>
          <w:ilvl w:val="0"/>
          <w:numId w:val="2"/>
        </w:numPr>
        <w:rPr>
          <w:rFonts w:ascii="Arial" w:cs="Arial" w:eastAsia="Arial" w:hAnsi="Arial"/>
          <w:sz w:val="18"/>
          <w:szCs w:val="18"/>
          <w:b w:val="1"/>
          <w:bCs w:val="1"/>
          <w:color w:val="auto"/>
        </w:rPr>
      </w:pPr>
      <w:r>
        <w:rPr>
          <w:rFonts w:ascii="Arial" w:cs="Arial" w:eastAsia="Arial" w:hAnsi="Arial"/>
          <w:sz w:val="16"/>
          <w:szCs w:val="16"/>
          <w:color w:val="auto"/>
        </w:rPr>
        <w:t xml:space="preserve">Дата подання заявки:  </w:t>
      </w:r>
      <w:r>
        <w:rPr>
          <w:rFonts w:ascii="Arial" w:cs="Arial" w:eastAsia="Arial" w:hAnsi="Arial"/>
          <w:sz w:val="18"/>
          <w:szCs w:val="18"/>
          <w:b w:val="1"/>
          <w:bCs w:val="1"/>
          <w:color w:val="auto"/>
        </w:rPr>
        <w:t>21.12.2015</w:t>
      </w:r>
    </w:p>
    <w:p>
      <w:pPr>
        <w:spacing w:after="0" w:line="69" w:lineRule="exact"/>
        <w:rPr>
          <w:sz w:val="24"/>
          <w:szCs w:val="24"/>
          <w:color w:val="auto"/>
        </w:rPr>
      </w:pPr>
    </w:p>
    <w:p>
      <w:pPr>
        <w:ind w:left="483" w:right="980" w:hanging="440"/>
        <w:spacing w:after="0"/>
        <w:tabs>
          <w:tab w:leader="none" w:pos="483" w:val="left"/>
        </w:tabs>
        <w:numPr>
          <w:ilvl w:val="0"/>
          <w:numId w:val="3"/>
        </w:numPr>
        <w:rPr>
          <w:rFonts w:ascii="Arial" w:cs="Arial" w:eastAsia="Arial" w:hAnsi="Arial"/>
          <w:sz w:val="18"/>
          <w:szCs w:val="18"/>
          <w:b w:val="1"/>
          <w:bCs w:val="1"/>
          <w:color w:val="auto"/>
        </w:rPr>
      </w:pPr>
      <w:r>
        <w:rPr>
          <w:rFonts w:ascii="Arial" w:cs="Arial" w:eastAsia="Arial" w:hAnsi="Arial"/>
          <w:sz w:val="16"/>
          <w:szCs w:val="16"/>
          <w:color w:val="auto"/>
        </w:rPr>
        <w:t xml:space="preserve">Дата, з якої є чинними </w:t>
      </w:r>
      <w:r>
        <w:rPr>
          <w:rFonts w:ascii="Arial" w:cs="Arial" w:eastAsia="Arial" w:hAnsi="Arial"/>
          <w:sz w:val="18"/>
          <w:szCs w:val="18"/>
          <w:b w:val="1"/>
          <w:bCs w:val="1"/>
          <w:color w:val="auto"/>
        </w:rPr>
        <w:t>24.06.2016</w:t>
      </w:r>
      <w:r>
        <w:rPr>
          <w:rFonts w:ascii="Arial" w:cs="Arial" w:eastAsia="Arial" w:hAnsi="Arial"/>
          <w:sz w:val="16"/>
          <w:szCs w:val="16"/>
          <w:color w:val="auto"/>
        </w:rPr>
        <w:t xml:space="preserve"> права на корисну модель:</w:t>
      </w:r>
    </w:p>
    <w:p>
      <w:pPr>
        <w:spacing w:after="0" w:line="221" w:lineRule="exact"/>
        <w:rPr>
          <w:sz w:val="24"/>
          <w:szCs w:val="24"/>
          <w:color w:val="auto"/>
        </w:rPr>
      </w:pPr>
    </w:p>
    <w:p>
      <w:pPr>
        <w:ind w:left="483" w:hanging="440"/>
        <w:spacing w:after="0" w:line="221" w:lineRule="auto"/>
        <w:tabs>
          <w:tab w:leader="none" w:pos="483" w:val="left"/>
        </w:tabs>
        <w:numPr>
          <w:ilvl w:val="0"/>
          <w:numId w:val="4"/>
        </w:numPr>
        <w:rPr>
          <w:rFonts w:ascii="Arial" w:cs="Arial" w:eastAsia="Arial" w:hAnsi="Arial"/>
          <w:sz w:val="18"/>
          <w:szCs w:val="18"/>
          <w:b w:val="1"/>
          <w:bCs w:val="1"/>
          <w:color w:val="auto"/>
        </w:rPr>
      </w:pPr>
      <w:r>
        <w:rPr>
          <w:rFonts w:ascii="Arial" w:cs="Arial" w:eastAsia="Arial" w:hAnsi="Arial"/>
          <w:sz w:val="16"/>
          <w:szCs w:val="16"/>
          <w:color w:val="auto"/>
        </w:rPr>
        <w:t xml:space="preserve">Публікація відомостей </w:t>
      </w:r>
      <w:r>
        <w:rPr>
          <w:rFonts w:ascii="Arial" w:cs="Arial" w:eastAsia="Arial" w:hAnsi="Arial"/>
          <w:sz w:val="18"/>
          <w:szCs w:val="18"/>
          <w:b w:val="1"/>
          <w:bCs w:val="1"/>
          <w:color w:val="auto"/>
        </w:rPr>
        <w:t>24.06.2016, Бюл.№ 12</w:t>
      </w:r>
      <w:r>
        <w:rPr>
          <w:rFonts w:ascii="Arial" w:cs="Arial" w:eastAsia="Arial" w:hAnsi="Arial"/>
          <w:sz w:val="16"/>
          <w:szCs w:val="16"/>
          <w:color w:val="auto"/>
        </w:rPr>
        <w:t xml:space="preserve"> про видачу патенту:</w:t>
      </w:r>
    </w:p>
    <w:p>
      <w:pPr>
        <w:spacing w:after="0" w:line="20" w:lineRule="exact"/>
        <w:rPr>
          <w:sz w:val="24"/>
          <w:szCs w:val="24"/>
          <w:color w:val="auto"/>
        </w:rPr>
      </w:pPr>
      <w:r>
        <w:rPr>
          <w:sz w:val="24"/>
          <w:szCs w:val="24"/>
          <w:color w:val="auto"/>
        </w:rPr>
        <w:br w:type="column"/>
      </w:r>
    </w:p>
    <w:p>
      <w:pPr>
        <w:spacing w:after="0" w:line="302" w:lineRule="exact"/>
        <w:rPr>
          <w:sz w:val="24"/>
          <w:szCs w:val="24"/>
          <w:color w:val="auto"/>
        </w:rPr>
      </w:pPr>
    </w:p>
    <w:p>
      <w:pPr>
        <w:ind w:left="491" w:hanging="491"/>
        <w:spacing w:after="0"/>
        <w:tabs>
          <w:tab w:leader="none" w:pos="491"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Винахідник(и):</w:t>
      </w:r>
    </w:p>
    <w:p>
      <w:pPr>
        <w:spacing w:after="0" w:line="4" w:lineRule="exact"/>
        <w:rPr>
          <w:rFonts w:ascii="Arial" w:cs="Arial" w:eastAsia="Arial" w:hAnsi="Arial"/>
          <w:sz w:val="18"/>
          <w:szCs w:val="18"/>
          <w:b w:val="1"/>
          <w:bCs w:val="1"/>
          <w:color w:val="auto"/>
        </w:rPr>
      </w:pPr>
    </w:p>
    <w:p>
      <w:pPr>
        <w:ind w:left="491" w:right="1012"/>
        <w:spacing w:after="0" w:line="237" w:lineRule="auto"/>
        <w:rPr>
          <w:rFonts w:ascii="Arial" w:cs="Arial" w:eastAsia="Arial" w:hAnsi="Arial"/>
          <w:sz w:val="18"/>
          <w:szCs w:val="18"/>
          <w:b w:val="1"/>
          <w:bCs w:val="1"/>
          <w:color w:val="auto"/>
        </w:rPr>
      </w:pPr>
      <w:r>
        <w:rPr>
          <w:rFonts w:ascii="Arial" w:cs="Arial" w:eastAsia="Arial" w:hAnsi="Arial"/>
          <w:sz w:val="18"/>
          <w:szCs w:val="18"/>
          <w:b w:val="1"/>
          <w:bCs w:val="1"/>
          <w:color w:val="auto"/>
        </w:rPr>
        <w:t>Надикто Володимир Трохимович (UA), Малюта Сергій Іванович (UA), Чаплинський Андрій Петрович (UA), Дронов Костянтин Володимирович (UA)</w:t>
      </w:r>
    </w:p>
    <w:p>
      <w:pPr>
        <w:spacing w:after="0" w:line="65" w:lineRule="exact"/>
        <w:rPr>
          <w:rFonts w:ascii="Arial" w:cs="Arial" w:eastAsia="Arial" w:hAnsi="Arial"/>
          <w:sz w:val="18"/>
          <w:szCs w:val="18"/>
          <w:b w:val="1"/>
          <w:bCs w:val="1"/>
          <w:color w:val="auto"/>
        </w:rPr>
      </w:pPr>
    </w:p>
    <w:p>
      <w:pPr>
        <w:ind w:left="491" w:hanging="491"/>
        <w:spacing w:after="0"/>
        <w:tabs>
          <w:tab w:leader="none" w:pos="491"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Власник(и):</w:t>
      </w:r>
    </w:p>
    <w:p>
      <w:pPr>
        <w:spacing w:after="0" w:line="4" w:lineRule="exact"/>
        <w:rPr>
          <w:rFonts w:ascii="Arial" w:cs="Arial" w:eastAsia="Arial" w:hAnsi="Arial"/>
          <w:sz w:val="18"/>
          <w:szCs w:val="18"/>
          <w:b w:val="1"/>
          <w:bCs w:val="1"/>
          <w:color w:val="auto"/>
        </w:rPr>
      </w:pPr>
    </w:p>
    <w:p>
      <w:pPr>
        <w:ind w:left="491" w:right="1212"/>
        <w:spacing w:after="0" w:line="235" w:lineRule="auto"/>
        <w:rPr>
          <w:rFonts w:ascii="Arial" w:cs="Arial" w:eastAsia="Arial" w:hAnsi="Arial"/>
          <w:sz w:val="18"/>
          <w:szCs w:val="18"/>
          <w:b w:val="1"/>
          <w:bCs w:val="1"/>
          <w:color w:val="auto"/>
        </w:rPr>
      </w:pPr>
      <w:r>
        <w:rPr>
          <w:rFonts w:ascii="Arial" w:cs="Arial" w:eastAsia="Arial" w:hAnsi="Arial"/>
          <w:sz w:val="18"/>
          <w:szCs w:val="18"/>
          <w:b w:val="1"/>
          <w:bCs w:val="1"/>
          <w:color w:val="auto"/>
        </w:rPr>
        <w:t>ТАВРІЙСЬКИЙ ДЕРЖАВНИЙ АГРОТЕХНОЛОГІЧНИЙ УНІВЕРСИТЕТ</w:t>
      </w:r>
      <w:r>
        <w:rPr>
          <w:rFonts w:ascii="Arial" w:cs="Arial" w:eastAsia="Arial" w:hAnsi="Arial"/>
          <w:sz w:val="18"/>
          <w:szCs w:val="18"/>
          <w:color w:val="auto"/>
        </w:rPr>
        <w:t>,</w:t>
      </w:r>
    </w:p>
    <w:p>
      <w:pPr>
        <w:spacing w:after="0" w:line="14" w:lineRule="exact"/>
        <w:rPr>
          <w:rFonts w:ascii="Arial" w:cs="Arial" w:eastAsia="Arial" w:hAnsi="Arial"/>
          <w:sz w:val="18"/>
          <w:szCs w:val="18"/>
          <w:b w:val="1"/>
          <w:bCs w:val="1"/>
          <w:color w:val="auto"/>
        </w:rPr>
      </w:pPr>
    </w:p>
    <w:p>
      <w:pPr>
        <w:ind w:left="491" w:right="1172"/>
        <w:spacing w:after="0" w:line="233" w:lineRule="auto"/>
        <w:rPr>
          <w:rFonts w:ascii="Arial" w:cs="Arial" w:eastAsia="Arial" w:hAnsi="Arial"/>
          <w:sz w:val="18"/>
          <w:szCs w:val="18"/>
          <w:b w:val="1"/>
          <w:bCs w:val="1"/>
          <w:color w:val="auto"/>
        </w:rPr>
      </w:pPr>
      <w:r>
        <w:rPr>
          <w:rFonts w:ascii="Arial" w:cs="Arial" w:eastAsia="Arial" w:hAnsi="Arial"/>
          <w:sz w:val="18"/>
          <w:szCs w:val="18"/>
          <w:color w:val="auto"/>
        </w:rPr>
        <w:t>пр. Б. Хмельницького, 18, м. Мелітополь, Запорізька обл., 72310 (UA)</w:t>
      </w:r>
    </w:p>
    <w:p>
      <w:pPr>
        <w:spacing w:after="0" w:line="200" w:lineRule="exact"/>
        <w:rPr>
          <w:sz w:val="24"/>
          <w:szCs w:val="24"/>
          <w:color w:val="auto"/>
        </w:rPr>
      </w:pPr>
    </w:p>
    <w:p>
      <w:pPr>
        <w:sectPr>
          <w:pgSz w:w="11900" w:h="16838" w:orient="portrait"/>
          <w:cols w:equalWidth="0" w:num="2">
            <w:col w:w="4123" w:space="589"/>
            <w:col w:w="5123"/>
          </w:cols>
          <w:pgMar w:left="1277" w:top="1417" w:right="794" w:bottom="1440" w:gutter="0" w:footer="0" w:header="0"/>
          <w:type w:val="continuous"/>
        </w:sectPr>
      </w:pPr>
    </w:p>
    <w:p>
      <w:pPr>
        <w:spacing w:after="0" w:line="84" w:lineRule="exact"/>
        <w:rPr>
          <w:sz w:val="24"/>
          <w:szCs w:val="24"/>
          <w:color w:val="auto"/>
        </w:rPr>
      </w:pPr>
    </w:p>
    <w:p>
      <w:pPr>
        <w:ind w:left="363" w:hanging="363"/>
        <w:spacing w:after="0"/>
        <w:tabs>
          <w:tab w:leader="none" w:pos="363"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ДВОРЯДНА ГОЛЧАСТА БОРОНА</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82550</wp:posOffset>
            </wp:positionV>
            <wp:extent cx="5761355"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61355" cy="6350"/>
                    </a:xfrm>
                    <a:prstGeom prst="rect">
                      <a:avLst/>
                    </a:prstGeom>
                    <a:noFill/>
                  </pic:spPr>
                </pic:pic>
              </a:graphicData>
            </a:graphic>
          </wp:anchor>
        </w:drawing>
      </w:r>
    </w:p>
    <w:p>
      <w:pPr>
        <w:spacing w:after="0" w:line="275" w:lineRule="exact"/>
        <w:rPr>
          <w:sz w:val="24"/>
          <w:szCs w:val="24"/>
          <w:color w:val="auto"/>
        </w:rPr>
      </w:pPr>
    </w:p>
    <w:p>
      <w:pPr>
        <w:ind w:left="363" w:hanging="363"/>
        <w:spacing w:after="0"/>
        <w:tabs>
          <w:tab w:leader="none" w:pos="363" w:val="left"/>
        </w:tabs>
        <w:numPr>
          <w:ilvl w:val="0"/>
          <w:numId w:val="7"/>
        </w:numPr>
        <w:rPr>
          <w:rFonts w:ascii="Arial" w:cs="Arial" w:eastAsia="Arial" w:hAnsi="Arial"/>
          <w:sz w:val="18"/>
          <w:szCs w:val="18"/>
          <w:b w:val="1"/>
          <w:bCs w:val="1"/>
          <w:color w:val="auto"/>
        </w:rPr>
      </w:pPr>
      <w:r>
        <w:rPr>
          <w:rFonts w:ascii="Arial" w:cs="Arial" w:eastAsia="Arial" w:hAnsi="Arial"/>
          <w:sz w:val="18"/>
          <w:szCs w:val="18"/>
          <w:color w:val="auto"/>
        </w:rPr>
        <w:t>Реферат:</w:t>
      </w:r>
    </w:p>
    <w:p>
      <w:pPr>
        <w:spacing w:after="0" w:line="133" w:lineRule="exact"/>
        <w:rPr>
          <w:sz w:val="24"/>
          <w:szCs w:val="24"/>
          <w:color w:val="auto"/>
        </w:rPr>
      </w:pPr>
    </w:p>
    <w:p>
      <w:pPr>
        <w:jc w:val="both"/>
        <w:ind w:left="3"/>
        <w:spacing w:after="0" w:line="237" w:lineRule="auto"/>
        <w:rPr>
          <w:sz w:val="20"/>
          <w:szCs w:val="20"/>
          <w:color w:val="auto"/>
        </w:rPr>
      </w:pPr>
      <w:r>
        <w:rPr>
          <w:rFonts w:ascii="Arial" w:cs="Arial" w:eastAsia="Arial" w:hAnsi="Arial"/>
          <w:sz w:val="20"/>
          <w:szCs w:val="20"/>
          <w:color w:val="auto"/>
        </w:rPr>
        <w:t>Дворядна голчаста борона, що включає раму з встановленими на ній дисками з ступицями та голками, причому голки виготовлені з стального прута круглого перерізу у вигляді подвійних V-подібних конструктивних елементів, а з обох боків диска виконані відповідні V-подібні та кільцеві виступи висотою в 1/2 діаметра голки.</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93" w:lineRule="exact"/>
        <w:rPr>
          <w:sz w:val="24"/>
          <w:szCs w:val="24"/>
          <w:color w:val="auto"/>
        </w:rPr>
      </w:pPr>
    </w:p>
    <w:tbl>
      <w:tblPr>
        <w:tblLayout w:type="fixed"/>
        <w:tblInd w:w="0" w:type="dxa"/>
        <w:tblCellMar>
          <w:top w:w="0" w:type="dxa"/>
          <w:left w:w="0" w:type="dxa"/>
          <w:bottom w:w="0" w:type="dxa"/>
          <w:right w:w="0" w:type="dxa"/>
        </w:tblCellMar>
      </w:tblPr>
      <w:tr>
        <w:trPr>
          <w:trHeight w:val="2720"/>
        </w:trPr>
        <w:tc>
          <w:tcPr>
            <w:tcW w:w="421" w:type="dxa"/>
            <w:vAlign w:val="bottom"/>
            <w:textDirection w:val="btLr"/>
          </w:tcPr>
          <w:p>
            <w:pPr>
              <w:spacing w:after="0" w:line="231" w:lineRule="auto"/>
              <w:rPr>
                <w:sz w:val="20"/>
                <w:szCs w:val="20"/>
                <w:color w:val="auto"/>
              </w:rPr>
            </w:pPr>
            <w:r>
              <w:rPr>
                <w:rFonts w:ascii="Arial" w:cs="Arial" w:eastAsia="Arial" w:hAnsi="Arial"/>
                <w:sz w:val="38"/>
                <w:szCs w:val="38"/>
                <w:b w:val="1"/>
                <w:bCs w:val="1"/>
                <w:color w:val="auto"/>
              </w:rPr>
              <w:t>UA  107872  U</w:t>
            </w:r>
          </w:p>
        </w:tc>
      </w:tr>
    </w:tbl>
    <w:p>
      <w:pPr>
        <w:sectPr>
          <w:pgSz w:w="11900" w:h="16838" w:orient="portrait"/>
          <w:cols w:equalWidth="0" w:num="2">
            <w:col w:w="9023" w:space="391"/>
            <w:col w:w="421"/>
          </w:cols>
          <w:pgMar w:left="1277" w:top="1417" w:right="794" w:bottom="1440" w:gutter="0" w:footer="0" w:header="0"/>
          <w:type w:val="continuous"/>
        </w:sectPr>
      </w:pPr>
    </w:p>
    <w:bookmarkStart w:id="1" w:name="page2"/>
    <w:bookmarkEnd w:id="1"/>
    <w:p>
      <w:pPr>
        <w:jc w:val="center"/>
        <w:ind w:right="226"/>
        <w:spacing w:after="0"/>
        <w:tabs>
          <w:tab w:leader="none" w:pos="180" w:val="left"/>
          <w:tab w:leader="none" w:pos="180" w:val="left"/>
        </w:tabs>
        <w:rPr>
          <w:sz w:val="20"/>
          <w:szCs w:val="20"/>
          <w:color w:val="auto"/>
        </w:rPr>
      </w:pPr>
      <w:r>
        <w:rPr>
          <w:rFonts w:ascii="Arial" w:cs="Arial" w:eastAsia="Arial" w:hAnsi="Arial"/>
          <w:sz w:val="24"/>
          <w:szCs w:val="24"/>
          <w:color w:val="auto"/>
        </w:rPr>
        <w:t>UA</w:t>
        <w:tab/>
        <w:t>107872</w:t>
        <w:tab/>
        <w:t>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534670</wp:posOffset>
            </wp:positionH>
            <wp:positionV relativeFrom="paragraph">
              <wp:posOffset>499745</wp:posOffset>
            </wp:positionV>
            <wp:extent cx="4447540" cy="53162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447540" cy="5316220"/>
                    </a:xfrm>
                    <a:prstGeom prst="rect">
                      <a:avLst/>
                    </a:prstGeom>
                    <a:noFill/>
                  </pic:spPr>
                </pic:pic>
              </a:graphicData>
            </a:graphic>
          </wp:anchor>
        </w:drawing>
      </w:r>
    </w:p>
    <w:p>
      <w:pPr>
        <w:sectPr>
          <w:pgSz w:w="11900" w:h="16838" w:orient="portrait"/>
          <w:cols w:equalWidth="0" w:num="1">
            <w:col w:w="9026"/>
          </w:cols>
          <w:pgMar w:left="1440" w:top="354" w:right="1440" w:bottom="1440" w:gutter="0" w:footer="0" w:header="0"/>
        </w:sectPr>
      </w:pPr>
    </w:p>
    <w:bookmarkStart w:id="2" w:name="page3"/>
    <w:bookmarkEnd w:id="2"/>
    <w:p>
      <w:pPr>
        <w:ind w:left="4226"/>
        <w:spacing w:after="0"/>
        <w:tabs>
          <w:tab w:leader="none" w:pos="4746" w:val="left"/>
          <w:tab w:leader="none" w:pos="5746" w:val="left"/>
        </w:tabs>
        <w:rPr>
          <w:sz w:val="20"/>
          <w:szCs w:val="20"/>
          <w:color w:val="auto"/>
        </w:rPr>
      </w:pPr>
      <w:r>
        <w:rPr>
          <w:rFonts w:ascii="Arial" w:cs="Arial" w:eastAsia="Arial" w:hAnsi="Arial"/>
          <w:sz w:val="24"/>
          <w:szCs w:val="24"/>
          <w:color w:val="auto"/>
        </w:rPr>
        <w:t>UA</w:t>
        <w:tab/>
        <w:t>107872</w:t>
        <w:tab/>
        <w:t>U</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both"/>
        <w:ind w:left="566" w:firstLine="341"/>
        <w:spacing w:after="0" w:line="237" w:lineRule="auto"/>
        <w:rPr>
          <w:sz w:val="20"/>
          <w:szCs w:val="20"/>
          <w:color w:val="auto"/>
        </w:rPr>
      </w:pPr>
      <w:r>
        <w:rPr>
          <w:rFonts w:ascii="Arial" w:cs="Arial" w:eastAsia="Arial" w:hAnsi="Arial"/>
          <w:sz w:val="20"/>
          <w:szCs w:val="20"/>
          <w:color w:val="auto"/>
        </w:rPr>
        <w:t>Корисна модель належить до галузі сільськогосподарського машинобудування, зокрема до машин для обробітку ґрунту, а саме до борін з безприводними робочими органами, що обертаються, і може бути використана для розпушення ґрунту, розпушування ґрунтової кірки та знищення бур'янів.</w:t>
      </w:r>
    </w:p>
    <w:p>
      <w:pPr>
        <w:spacing w:after="0" w:line="11" w:lineRule="exact"/>
        <w:rPr>
          <w:sz w:val="20"/>
          <w:szCs w:val="20"/>
          <w:color w:val="auto"/>
        </w:rPr>
      </w:pPr>
    </w:p>
    <w:p>
      <w:pPr>
        <w:jc w:val="both"/>
        <w:ind w:left="566" w:right="20" w:hanging="465"/>
        <w:spacing w:after="0" w:line="236" w:lineRule="auto"/>
        <w:tabs>
          <w:tab w:leader="none" w:pos="907" w:val="left"/>
        </w:tabs>
        <w:numPr>
          <w:ilvl w:val="0"/>
          <w:numId w:val="8"/>
        </w:numPr>
        <w:rPr>
          <w:rFonts w:ascii="Arial" w:cs="Arial" w:eastAsia="Arial" w:hAnsi="Arial"/>
          <w:sz w:val="18"/>
          <w:szCs w:val="18"/>
          <w:color w:val="auto"/>
        </w:rPr>
      </w:pPr>
      <w:r>
        <w:rPr>
          <w:rFonts w:ascii="Arial" w:cs="Arial" w:eastAsia="Arial" w:hAnsi="Arial"/>
          <w:sz w:val="20"/>
          <w:szCs w:val="20"/>
          <w:color w:val="auto"/>
        </w:rPr>
        <w:t>Відома голчаста борона (Патент України на корисну модель № 77789, МПК А01D45/06, опубл. 25.02.2013, бюл. № 4), що містить раму з встановленими на ній дисками з ступицями та голками, різьбові кінці яких вкручені в різьбові отвори дисків і закріплені стопорними гвинтами.</w:t>
      </w:r>
    </w:p>
    <w:p>
      <w:pPr>
        <w:spacing w:after="0" w:line="13" w:lineRule="exact"/>
        <w:rPr>
          <w:sz w:val="20"/>
          <w:szCs w:val="20"/>
          <w:color w:val="auto"/>
        </w:rPr>
      </w:pPr>
    </w:p>
    <w:p>
      <w:pPr>
        <w:ind w:left="566"/>
        <w:spacing w:after="0" w:line="233" w:lineRule="auto"/>
        <w:rPr>
          <w:sz w:val="20"/>
          <w:szCs w:val="20"/>
          <w:color w:val="auto"/>
        </w:rPr>
      </w:pPr>
      <w:r>
        <w:rPr>
          <w:rFonts w:ascii="Arial" w:cs="Arial" w:eastAsia="Arial" w:hAnsi="Arial"/>
          <w:sz w:val="20"/>
          <w:szCs w:val="20"/>
          <w:color w:val="auto"/>
        </w:rPr>
        <w:t>Недоліком вказаного пристрою є низька технологічність виготовлення та недостатня розпушувальна здатність голок, обумовлені його конструкцією.</w:t>
      </w:r>
    </w:p>
    <w:p>
      <w:pPr>
        <w:spacing w:after="0" w:line="12" w:lineRule="exact"/>
        <w:rPr>
          <w:sz w:val="20"/>
          <w:szCs w:val="20"/>
          <w:color w:val="auto"/>
        </w:rPr>
      </w:pPr>
    </w:p>
    <w:p>
      <w:pPr>
        <w:jc w:val="both"/>
        <w:ind w:left="566" w:right="20" w:hanging="566"/>
        <w:spacing w:after="0" w:line="236" w:lineRule="auto"/>
        <w:tabs>
          <w:tab w:leader="none" w:pos="907" w:val="left"/>
        </w:tabs>
        <w:numPr>
          <w:ilvl w:val="0"/>
          <w:numId w:val="9"/>
        </w:numPr>
        <w:rPr>
          <w:rFonts w:ascii="Arial" w:cs="Arial" w:eastAsia="Arial" w:hAnsi="Arial"/>
          <w:sz w:val="18"/>
          <w:szCs w:val="18"/>
          <w:color w:val="auto"/>
        </w:rPr>
      </w:pPr>
      <w:r>
        <w:rPr>
          <w:rFonts w:ascii="Arial" w:cs="Arial" w:eastAsia="Arial" w:hAnsi="Arial"/>
          <w:sz w:val="20"/>
          <w:szCs w:val="20"/>
          <w:color w:val="auto"/>
        </w:rPr>
        <w:t>Як прототип вибрана борона дворядна голчаста (Патент України на корисну модель № 100715, МПК А01В21/00, А01В23/02 опубл. 18.08.2015, бюл. № 15), що містить раму з встановленим на ній диском зі ступицею та голками, закріпленими в утримувачі.</w:t>
      </w:r>
    </w:p>
    <w:p>
      <w:pPr>
        <w:spacing w:after="0" w:line="2" w:lineRule="exact"/>
        <w:rPr>
          <w:rFonts w:ascii="Arial" w:cs="Arial" w:eastAsia="Arial" w:hAnsi="Arial"/>
          <w:sz w:val="18"/>
          <w:szCs w:val="18"/>
          <w:color w:val="auto"/>
        </w:rPr>
      </w:pPr>
    </w:p>
    <w:p>
      <w:pPr>
        <w:ind w:left="906"/>
        <w:spacing w:after="0"/>
        <w:rPr>
          <w:rFonts w:ascii="Arial" w:cs="Arial" w:eastAsia="Arial" w:hAnsi="Arial"/>
          <w:sz w:val="18"/>
          <w:szCs w:val="18"/>
          <w:color w:val="auto"/>
        </w:rPr>
      </w:pPr>
      <w:r>
        <w:rPr>
          <w:rFonts w:ascii="Arial" w:cs="Arial" w:eastAsia="Arial" w:hAnsi="Arial"/>
          <w:sz w:val="20"/>
          <w:szCs w:val="20"/>
          <w:color w:val="auto"/>
        </w:rPr>
        <w:t>Незважаючи на те, що недостатня розпушувальна здатність пристрою-аналога в прототипі</w:t>
      </w:r>
    </w:p>
    <w:p>
      <w:pPr>
        <w:ind w:left="566"/>
        <w:spacing w:after="0"/>
        <w:tabs>
          <w:tab w:leader="none" w:pos="7906" w:val="left"/>
        </w:tabs>
        <w:rPr>
          <w:sz w:val="20"/>
          <w:szCs w:val="20"/>
          <w:color w:val="auto"/>
        </w:rPr>
      </w:pPr>
      <w:r>
        <w:rPr>
          <w:rFonts w:ascii="Arial" w:cs="Arial" w:eastAsia="Arial" w:hAnsi="Arial"/>
          <w:sz w:val="20"/>
          <w:szCs w:val="20"/>
          <w:color w:val="auto"/>
        </w:rPr>
        <w:t>покращена  за  рахунок  установки  додаткового  ряду  голок  за  допомогою</w:t>
        <w:tab/>
        <w:t>утримувача,  його</w:t>
      </w:r>
    </w:p>
    <w:p>
      <w:pPr>
        <w:spacing w:after="0" w:line="9" w:lineRule="exact"/>
        <w:rPr>
          <w:sz w:val="20"/>
          <w:szCs w:val="20"/>
          <w:color w:val="auto"/>
        </w:rPr>
      </w:pPr>
    </w:p>
    <w:p>
      <w:pPr>
        <w:jc w:val="both"/>
        <w:ind w:left="566" w:hanging="566"/>
        <w:spacing w:after="0" w:line="237" w:lineRule="auto"/>
        <w:tabs>
          <w:tab w:leader="none" w:pos="566" w:val="left"/>
        </w:tabs>
        <w:numPr>
          <w:ilvl w:val="0"/>
          <w:numId w:val="10"/>
        </w:numPr>
        <w:rPr>
          <w:rFonts w:ascii="Arial" w:cs="Arial" w:eastAsia="Arial" w:hAnsi="Arial"/>
          <w:sz w:val="18"/>
          <w:szCs w:val="18"/>
          <w:color w:val="auto"/>
        </w:rPr>
      </w:pPr>
      <w:r>
        <w:rPr>
          <w:rFonts w:ascii="Arial" w:cs="Arial" w:eastAsia="Arial" w:hAnsi="Arial"/>
          <w:sz w:val="20"/>
          <w:szCs w:val="20"/>
          <w:color w:val="auto"/>
        </w:rPr>
        <w:t>суттєвим недоліком залишається незадовільна технологічність виготовлення. Так, наприклад, для закріплення на диску двох рядів голок необхідно виконати близько п'ятдесяти різьбових з'єднань, що ускладнює конструкцію, потребує значних затрат часу на монтаж голок при збиранні пристрою або його ремонті.</w:t>
      </w:r>
    </w:p>
    <w:p>
      <w:pPr>
        <w:spacing w:after="0" w:line="2" w:lineRule="exact"/>
        <w:rPr>
          <w:rFonts w:ascii="Arial" w:cs="Arial" w:eastAsia="Arial" w:hAnsi="Arial"/>
          <w:sz w:val="18"/>
          <w:szCs w:val="18"/>
          <w:color w:val="auto"/>
        </w:rPr>
      </w:pPr>
    </w:p>
    <w:p>
      <w:pPr>
        <w:ind w:left="1106" w:hanging="204"/>
        <w:spacing w:after="0"/>
        <w:tabs>
          <w:tab w:leader="none" w:pos="1106" w:val="left"/>
        </w:tabs>
        <w:numPr>
          <w:ilvl w:val="1"/>
          <w:numId w:val="10"/>
        </w:numPr>
        <w:rPr>
          <w:rFonts w:ascii="Arial" w:cs="Arial" w:eastAsia="Arial" w:hAnsi="Arial"/>
          <w:sz w:val="20"/>
          <w:szCs w:val="20"/>
          <w:color w:val="auto"/>
        </w:rPr>
      </w:pPr>
      <w:r>
        <w:rPr>
          <w:rFonts w:ascii="Arial" w:cs="Arial" w:eastAsia="Arial" w:hAnsi="Arial"/>
          <w:sz w:val="20"/>
          <w:szCs w:val="20"/>
          <w:color w:val="auto"/>
        </w:rPr>
        <w:t>основу корисної моделі поставлена задача вдосконалення дворядної голчастої борони, в</w:t>
      </w:r>
    </w:p>
    <w:p>
      <w:pPr>
        <w:spacing w:after="0" w:line="10" w:lineRule="exact"/>
        <w:rPr>
          <w:rFonts w:ascii="Arial" w:cs="Arial" w:eastAsia="Arial" w:hAnsi="Arial"/>
          <w:sz w:val="20"/>
          <w:szCs w:val="20"/>
          <w:color w:val="auto"/>
        </w:rPr>
      </w:pPr>
    </w:p>
    <w:p>
      <w:pPr>
        <w:jc w:val="both"/>
        <w:ind w:left="566" w:hanging="566"/>
        <w:spacing w:after="0" w:line="237" w:lineRule="auto"/>
        <w:tabs>
          <w:tab w:leader="none" w:pos="566" w:val="left"/>
        </w:tabs>
        <w:numPr>
          <w:ilvl w:val="0"/>
          <w:numId w:val="11"/>
        </w:numPr>
        <w:rPr>
          <w:rFonts w:ascii="Arial" w:cs="Arial" w:eastAsia="Arial" w:hAnsi="Arial"/>
          <w:sz w:val="18"/>
          <w:szCs w:val="18"/>
          <w:color w:val="auto"/>
        </w:rPr>
      </w:pPr>
      <w:r>
        <w:rPr>
          <w:rFonts w:ascii="Arial" w:cs="Arial" w:eastAsia="Arial" w:hAnsi="Arial"/>
          <w:sz w:val="20"/>
          <w:szCs w:val="20"/>
          <w:color w:val="auto"/>
        </w:rPr>
        <w:t>якій шляхом модернізації конструктивно-технологічної схеми, основаної на новому поєднанні конструктивних елементів, їх взаємному розташуванні і наявності зв'язків між ними, забезпечується безрізьбове приєднання голок до диска і за рахунок цього досягається підвищення технологічності виготовлення та ремонтопридатності при експлуатації.</w:t>
      </w:r>
    </w:p>
    <w:p>
      <w:pPr>
        <w:ind w:left="906"/>
        <w:spacing w:after="0"/>
        <w:rPr>
          <w:rFonts w:ascii="Arial" w:cs="Arial" w:eastAsia="Arial" w:hAnsi="Arial"/>
          <w:sz w:val="18"/>
          <w:szCs w:val="18"/>
          <w:color w:val="auto"/>
        </w:rPr>
      </w:pPr>
      <w:r>
        <w:rPr>
          <w:rFonts w:ascii="Arial" w:cs="Arial" w:eastAsia="Arial" w:hAnsi="Arial"/>
          <w:sz w:val="20"/>
          <w:szCs w:val="20"/>
          <w:color w:val="auto"/>
        </w:rPr>
        <w:t>Поставлена задача вирішується тим, що в дворядній голчастій бороні, яка включає раму з</w:t>
      </w:r>
    </w:p>
    <w:p>
      <w:pPr>
        <w:spacing w:after="0" w:line="10" w:lineRule="exact"/>
        <w:rPr>
          <w:rFonts w:ascii="Arial" w:cs="Arial" w:eastAsia="Arial" w:hAnsi="Arial"/>
          <w:sz w:val="18"/>
          <w:szCs w:val="18"/>
          <w:color w:val="auto"/>
        </w:rPr>
      </w:pPr>
    </w:p>
    <w:p>
      <w:pPr>
        <w:jc w:val="both"/>
        <w:ind w:left="566" w:hanging="566"/>
        <w:spacing w:after="0" w:line="237" w:lineRule="auto"/>
        <w:tabs>
          <w:tab w:leader="none" w:pos="566" w:val="left"/>
        </w:tabs>
        <w:numPr>
          <w:ilvl w:val="0"/>
          <w:numId w:val="12"/>
        </w:numPr>
        <w:rPr>
          <w:rFonts w:ascii="Arial" w:cs="Arial" w:eastAsia="Arial" w:hAnsi="Arial"/>
          <w:sz w:val="18"/>
          <w:szCs w:val="18"/>
          <w:color w:val="auto"/>
        </w:rPr>
      </w:pPr>
      <w:r>
        <w:rPr>
          <w:rFonts w:ascii="Arial" w:cs="Arial" w:eastAsia="Arial" w:hAnsi="Arial"/>
          <w:sz w:val="20"/>
          <w:szCs w:val="20"/>
          <w:color w:val="auto"/>
        </w:rPr>
        <w:t>встановленими на ній дисками з ступицями та голками, згідно з корисною моделлю, голки виготовлені з стального прута круглого перерізу у вигляді подвійних V-подібних конструктивних елементів, а з обох боків диска виконані відповідні V-подібні та кільцевий виступи висотою 1/2 діаметра голки.</w:t>
      </w:r>
    </w:p>
    <w:p>
      <w:pPr>
        <w:ind w:left="906"/>
        <w:spacing w:after="0"/>
        <w:rPr>
          <w:rFonts w:ascii="Arial" w:cs="Arial" w:eastAsia="Arial" w:hAnsi="Arial"/>
          <w:sz w:val="18"/>
          <w:szCs w:val="18"/>
          <w:color w:val="auto"/>
        </w:rPr>
      </w:pPr>
      <w:r>
        <w:rPr>
          <w:rFonts w:ascii="Arial" w:cs="Arial" w:eastAsia="Arial" w:hAnsi="Arial"/>
          <w:sz w:val="20"/>
          <w:szCs w:val="20"/>
          <w:color w:val="auto"/>
        </w:rPr>
        <w:t>Виконання  голок  з  стального  прута  круглого  перерізу  у  вигляді  подвійних  V-подібних</w:t>
      </w:r>
    </w:p>
    <w:p>
      <w:pPr>
        <w:spacing w:after="0" w:line="10" w:lineRule="exact"/>
        <w:rPr>
          <w:rFonts w:ascii="Arial" w:cs="Arial" w:eastAsia="Arial" w:hAnsi="Arial"/>
          <w:sz w:val="18"/>
          <w:szCs w:val="18"/>
          <w:color w:val="auto"/>
        </w:rPr>
      </w:pPr>
    </w:p>
    <w:p>
      <w:pPr>
        <w:jc w:val="both"/>
        <w:ind w:left="566" w:hanging="566"/>
        <w:spacing w:after="0" w:line="237" w:lineRule="auto"/>
        <w:tabs>
          <w:tab w:leader="none" w:pos="566" w:val="left"/>
        </w:tabs>
        <w:numPr>
          <w:ilvl w:val="0"/>
          <w:numId w:val="13"/>
        </w:numPr>
        <w:rPr>
          <w:rFonts w:ascii="Arial" w:cs="Arial" w:eastAsia="Arial" w:hAnsi="Arial"/>
          <w:sz w:val="18"/>
          <w:szCs w:val="18"/>
          <w:color w:val="auto"/>
        </w:rPr>
      </w:pPr>
      <w:r>
        <w:rPr>
          <w:rFonts w:ascii="Arial" w:cs="Arial" w:eastAsia="Arial" w:hAnsi="Arial"/>
          <w:sz w:val="20"/>
          <w:szCs w:val="20"/>
          <w:color w:val="auto"/>
        </w:rPr>
        <w:t>конструктивних елементів та виконання на диску відповідних профілю голок V-подібних та кільцевого виступів висотою 1/2 діаметра голки забезпечує, по-перше, технологічність виготовлення конструкції, а, по-друге, закріплення голок в диску може бути виконане у вигляді простого притискного металевого кільця, встановленого, наприклад, за допомогою трьох болтів. Таке закріплення голок значно спрощує їх заміну. Таким чином, заявлені відмінності дозволяють</w:t>
      </w:r>
    </w:p>
    <w:p>
      <w:pPr>
        <w:spacing w:after="0" w:line="14" w:lineRule="exact"/>
        <w:rPr>
          <w:rFonts w:ascii="Arial" w:cs="Arial" w:eastAsia="Arial" w:hAnsi="Arial"/>
          <w:sz w:val="18"/>
          <w:szCs w:val="18"/>
          <w:color w:val="auto"/>
        </w:rPr>
      </w:pPr>
    </w:p>
    <w:p>
      <w:pPr>
        <w:ind w:left="566" w:right="20" w:hanging="566"/>
        <w:spacing w:after="0" w:line="234" w:lineRule="auto"/>
        <w:tabs>
          <w:tab w:leader="none" w:pos="566" w:val="left"/>
        </w:tabs>
        <w:numPr>
          <w:ilvl w:val="0"/>
          <w:numId w:val="14"/>
        </w:numPr>
        <w:rPr>
          <w:rFonts w:ascii="Arial" w:cs="Arial" w:eastAsia="Arial" w:hAnsi="Arial"/>
          <w:sz w:val="18"/>
          <w:szCs w:val="18"/>
          <w:color w:val="auto"/>
        </w:rPr>
      </w:pPr>
      <w:r>
        <w:rPr>
          <w:rFonts w:ascii="Arial" w:cs="Arial" w:eastAsia="Arial" w:hAnsi="Arial"/>
          <w:sz w:val="20"/>
          <w:szCs w:val="20"/>
          <w:color w:val="auto"/>
        </w:rPr>
        <w:t>суттєво підвищити технологічність виготовлення пристрою та його ремонтопридатність в процесі експлуатації в порівнянні з прототипом.</w:t>
      </w:r>
    </w:p>
    <w:p>
      <w:pPr>
        <w:spacing w:after="0" w:line="12" w:lineRule="exact"/>
        <w:rPr>
          <w:rFonts w:ascii="Arial" w:cs="Arial" w:eastAsia="Arial" w:hAnsi="Arial"/>
          <w:sz w:val="18"/>
          <w:szCs w:val="18"/>
          <w:color w:val="auto"/>
        </w:rPr>
      </w:pPr>
    </w:p>
    <w:p>
      <w:pPr>
        <w:ind w:left="906" w:right="420"/>
        <w:spacing w:after="0" w:line="235" w:lineRule="auto"/>
        <w:rPr>
          <w:rFonts w:ascii="Arial" w:cs="Arial" w:eastAsia="Arial" w:hAnsi="Arial"/>
          <w:sz w:val="18"/>
          <w:szCs w:val="18"/>
          <w:color w:val="auto"/>
        </w:rPr>
      </w:pPr>
      <w:r>
        <w:rPr>
          <w:rFonts w:ascii="Arial" w:cs="Arial" w:eastAsia="Arial" w:hAnsi="Arial"/>
          <w:sz w:val="20"/>
          <w:szCs w:val="20"/>
          <w:color w:val="auto"/>
        </w:rPr>
        <w:t>Технічна суть та принцип роботи запропонованого пристрою пояснюються кресленнями. На Фіг. 1 наведена схема дворядної голчастої борони, загальний вигляд; на Фіг. 2 - схема диска з голками, розріз по перерізу А-А;</w:t>
      </w:r>
    </w:p>
    <w:p>
      <w:pPr>
        <w:spacing w:after="0" w:line="2" w:lineRule="exact"/>
        <w:rPr>
          <w:rFonts w:ascii="Arial" w:cs="Arial" w:eastAsia="Arial" w:hAnsi="Arial"/>
          <w:sz w:val="18"/>
          <w:szCs w:val="18"/>
          <w:color w:val="auto"/>
        </w:rPr>
      </w:pPr>
    </w:p>
    <w:p>
      <w:pPr>
        <w:ind w:left="906" w:hanging="906"/>
        <w:spacing w:after="0"/>
        <w:tabs>
          <w:tab w:leader="none" w:pos="906" w:val="left"/>
        </w:tabs>
        <w:numPr>
          <w:ilvl w:val="0"/>
          <w:numId w:val="15"/>
        </w:numPr>
        <w:rPr>
          <w:rFonts w:ascii="Arial" w:cs="Arial" w:eastAsia="Arial" w:hAnsi="Arial"/>
          <w:sz w:val="18"/>
          <w:szCs w:val="18"/>
          <w:color w:val="auto"/>
        </w:rPr>
      </w:pPr>
      <w:r>
        <w:rPr>
          <w:rFonts w:ascii="Arial" w:cs="Arial" w:eastAsia="Arial" w:hAnsi="Arial"/>
          <w:sz w:val="20"/>
          <w:szCs w:val="20"/>
          <w:color w:val="auto"/>
        </w:rPr>
        <w:t>на Фіг. 3 - схема диска зі ступицею.</w:t>
      </w:r>
    </w:p>
    <w:p>
      <w:pPr>
        <w:spacing w:after="0" w:line="10" w:lineRule="exact"/>
        <w:rPr>
          <w:rFonts w:ascii="Arial" w:cs="Arial" w:eastAsia="Arial" w:hAnsi="Arial"/>
          <w:sz w:val="18"/>
          <w:szCs w:val="18"/>
          <w:color w:val="auto"/>
        </w:rPr>
      </w:pPr>
    </w:p>
    <w:p>
      <w:pPr>
        <w:jc w:val="both"/>
        <w:ind w:left="566" w:firstLine="341"/>
        <w:spacing w:after="0" w:line="237" w:lineRule="auto"/>
        <w:rPr>
          <w:rFonts w:ascii="Arial" w:cs="Arial" w:eastAsia="Arial" w:hAnsi="Arial"/>
          <w:sz w:val="18"/>
          <w:szCs w:val="18"/>
          <w:color w:val="auto"/>
        </w:rPr>
      </w:pPr>
      <w:r>
        <w:rPr>
          <w:rFonts w:ascii="Arial" w:cs="Arial" w:eastAsia="Arial" w:hAnsi="Arial"/>
          <w:sz w:val="20"/>
          <w:szCs w:val="20"/>
          <w:color w:val="auto"/>
        </w:rPr>
        <w:t>Запропонована дворядна голчаста борона включає раму 1, на якій за допомогою осі 9 встановлений диск 6 з ступицею 5. В ступиці 5 виконані отвори 15 та з обох боків диска 6 V-подібні виступи 7 і 10, а також кільцеві виступи 8 та 12. За допомогою кілець 3 і 13 та болтів 4 з гайками 11 на дискові 6 з обох боків нерухомо закріплені V-подібні голки 2 та 14. Глибина V-</w:t>
      </w:r>
    </w:p>
    <w:p>
      <w:pPr>
        <w:spacing w:after="0" w:line="11" w:lineRule="exact"/>
        <w:rPr>
          <w:rFonts w:ascii="Arial" w:cs="Arial" w:eastAsia="Arial" w:hAnsi="Arial"/>
          <w:sz w:val="18"/>
          <w:szCs w:val="18"/>
          <w:color w:val="auto"/>
        </w:rPr>
      </w:pPr>
    </w:p>
    <w:p>
      <w:pPr>
        <w:ind w:left="566" w:right="20" w:hanging="566"/>
        <w:spacing w:after="0" w:line="234" w:lineRule="auto"/>
        <w:tabs>
          <w:tab w:leader="none" w:pos="566" w:val="left"/>
        </w:tabs>
        <w:numPr>
          <w:ilvl w:val="0"/>
          <w:numId w:val="16"/>
        </w:numPr>
        <w:rPr>
          <w:rFonts w:ascii="Arial" w:cs="Arial" w:eastAsia="Arial" w:hAnsi="Arial"/>
          <w:sz w:val="18"/>
          <w:szCs w:val="18"/>
          <w:color w:val="auto"/>
        </w:rPr>
      </w:pPr>
      <w:r>
        <w:rPr>
          <w:rFonts w:ascii="Arial" w:cs="Arial" w:eastAsia="Arial" w:hAnsi="Arial"/>
          <w:sz w:val="20"/>
          <w:szCs w:val="20"/>
          <w:color w:val="auto"/>
        </w:rPr>
        <w:t>подібних виступів 7 і 10, а також кільцевих виступів 8 і 12 становить близько 1/2 діаметра голок 2 і 14, що сприяє її надійному утриманню в диску 6.</w:t>
      </w:r>
    </w:p>
    <w:p>
      <w:pPr>
        <w:spacing w:after="0" w:line="2" w:lineRule="exact"/>
        <w:rPr>
          <w:rFonts w:ascii="Arial" w:cs="Arial" w:eastAsia="Arial" w:hAnsi="Arial"/>
          <w:sz w:val="18"/>
          <w:szCs w:val="18"/>
          <w:color w:val="auto"/>
        </w:rPr>
      </w:pPr>
    </w:p>
    <w:p>
      <w:pPr>
        <w:ind w:left="906"/>
        <w:spacing w:after="0"/>
        <w:rPr>
          <w:rFonts w:ascii="Arial" w:cs="Arial" w:eastAsia="Arial" w:hAnsi="Arial"/>
          <w:sz w:val="18"/>
          <w:szCs w:val="18"/>
          <w:color w:val="auto"/>
        </w:rPr>
      </w:pPr>
      <w:r>
        <w:rPr>
          <w:rFonts w:ascii="Arial" w:cs="Arial" w:eastAsia="Arial" w:hAnsi="Arial"/>
          <w:sz w:val="20"/>
          <w:szCs w:val="20"/>
          <w:color w:val="auto"/>
        </w:rPr>
        <w:t>Описана вище голчаста борона використовується таким чином.</w:t>
      </w:r>
    </w:p>
    <w:p>
      <w:pPr>
        <w:spacing w:after="0" w:line="10" w:lineRule="exact"/>
        <w:rPr>
          <w:rFonts w:ascii="Arial" w:cs="Arial" w:eastAsia="Arial" w:hAnsi="Arial"/>
          <w:sz w:val="18"/>
          <w:szCs w:val="18"/>
          <w:color w:val="auto"/>
        </w:rPr>
      </w:pPr>
    </w:p>
    <w:p>
      <w:pPr>
        <w:jc w:val="both"/>
        <w:ind w:left="566" w:firstLine="341"/>
        <w:spacing w:after="0" w:line="233" w:lineRule="auto"/>
        <w:rPr>
          <w:rFonts w:ascii="Arial" w:cs="Arial" w:eastAsia="Arial" w:hAnsi="Arial"/>
          <w:sz w:val="18"/>
          <w:szCs w:val="18"/>
          <w:color w:val="auto"/>
        </w:rPr>
      </w:pPr>
      <w:r>
        <w:rPr>
          <w:rFonts w:ascii="Arial" w:cs="Arial" w:eastAsia="Arial" w:hAnsi="Arial"/>
          <w:sz w:val="20"/>
          <w:szCs w:val="20"/>
          <w:color w:val="auto"/>
        </w:rPr>
        <w:t>При русі агрегату голки 2 та 14 борони під дією її маси заглиблюються в ґрунт та, обертаючись, розпушують його, розпушують ґрунтову кірку та знищують бур'яни, що слабо</w:t>
      </w:r>
    </w:p>
    <w:p>
      <w:pPr>
        <w:spacing w:after="0" w:line="11" w:lineRule="exact"/>
        <w:rPr>
          <w:rFonts w:ascii="Arial" w:cs="Arial" w:eastAsia="Arial" w:hAnsi="Arial"/>
          <w:sz w:val="18"/>
          <w:szCs w:val="18"/>
          <w:color w:val="auto"/>
        </w:rPr>
      </w:pPr>
    </w:p>
    <w:p>
      <w:pPr>
        <w:jc w:val="both"/>
        <w:ind w:left="566" w:hanging="566"/>
        <w:spacing w:after="0" w:line="236" w:lineRule="auto"/>
        <w:tabs>
          <w:tab w:leader="none" w:pos="566" w:val="left"/>
        </w:tabs>
        <w:numPr>
          <w:ilvl w:val="0"/>
          <w:numId w:val="17"/>
        </w:numPr>
        <w:rPr>
          <w:rFonts w:ascii="Arial" w:cs="Arial" w:eastAsia="Arial" w:hAnsi="Arial"/>
          <w:sz w:val="18"/>
          <w:szCs w:val="18"/>
          <w:color w:val="auto"/>
        </w:rPr>
      </w:pPr>
      <w:r>
        <w:rPr>
          <w:rFonts w:ascii="Arial" w:cs="Arial" w:eastAsia="Arial" w:hAnsi="Arial"/>
          <w:sz w:val="20"/>
          <w:szCs w:val="20"/>
          <w:color w:val="auto"/>
        </w:rPr>
        <w:t>вкоренилися. За необхідності заміни зношених або зламаних голок 2 або 14 відкручують болти 4, знімають кільця 3 та 13 і встановлюють нові голки 2 або 14. Закріплюють голки 2 та 14, виконуючи вказані вище операції у зворотному порядку.</w:t>
      </w:r>
    </w:p>
    <w:p>
      <w:pPr>
        <w:spacing w:after="0" w:line="233" w:lineRule="exact"/>
        <w:rPr>
          <w:sz w:val="20"/>
          <w:szCs w:val="20"/>
          <w:color w:val="auto"/>
        </w:rPr>
      </w:pPr>
    </w:p>
    <w:p>
      <w:pPr>
        <w:ind w:left="3606"/>
        <w:spacing w:after="0"/>
        <w:rPr>
          <w:sz w:val="20"/>
          <w:szCs w:val="20"/>
          <w:color w:val="auto"/>
        </w:rPr>
      </w:pPr>
      <w:r>
        <w:rPr>
          <w:rFonts w:ascii="Arial" w:cs="Arial" w:eastAsia="Arial" w:hAnsi="Arial"/>
          <w:sz w:val="20"/>
          <w:szCs w:val="20"/>
          <w:color w:val="auto"/>
        </w:rPr>
        <w:t>ФОРМУЛА КОРИСНОЇ МОДЕЛІ</w:t>
      </w:r>
    </w:p>
    <w:p>
      <w:pPr>
        <w:spacing w:after="0" w:line="17" w:lineRule="exact"/>
        <w:rPr>
          <w:sz w:val="20"/>
          <w:szCs w:val="20"/>
          <w:color w:val="auto"/>
        </w:rPr>
      </w:pPr>
    </w:p>
    <w:p>
      <w:pPr>
        <w:ind w:left="6"/>
        <w:spacing w:after="0"/>
        <w:rPr>
          <w:sz w:val="20"/>
          <w:szCs w:val="20"/>
          <w:color w:val="auto"/>
        </w:rPr>
      </w:pPr>
      <w:r>
        <w:rPr>
          <w:rFonts w:ascii="Arial" w:cs="Arial" w:eastAsia="Arial" w:hAnsi="Arial"/>
          <w:sz w:val="18"/>
          <w:szCs w:val="18"/>
          <w:color w:val="auto"/>
        </w:rPr>
        <w:t>55</w:t>
      </w:r>
    </w:p>
    <w:p>
      <w:pPr>
        <w:spacing w:after="0" w:line="15" w:lineRule="exact"/>
        <w:rPr>
          <w:sz w:val="20"/>
          <w:szCs w:val="20"/>
          <w:color w:val="auto"/>
        </w:rPr>
      </w:pPr>
    </w:p>
    <w:p>
      <w:pPr>
        <w:jc w:val="both"/>
        <w:ind w:left="566"/>
        <w:spacing w:after="0" w:line="237" w:lineRule="auto"/>
        <w:rPr>
          <w:sz w:val="20"/>
          <w:szCs w:val="20"/>
          <w:color w:val="auto"/>
        </w:rPr>
      </w:pPr>
      <w:r>
        <w:rPr>
          <w:rFonts w:ascii="Arial" w:cs="Arial" w:eastAsia="Arial" w:hAnsi="Arial"/>
          <w:sz w:val="20"/>
          <w:szCs w:val="20"/>
          <w:color w:val="auto"/>
        </w:rPr>
        <w:t xml:space="preserve">Дворядна голчаста борона, що включає раму з встановленими на ній дисками з ступицями та голками, яка </w:t>
      </w:r>
      <w:r>
        <w:rPr>
          <w:rFonts w:ascii="Arial" w:cs="Arial" w:eastAsia="Arial" w:hAnsi="Arial"/>
          <w:sz w:val="20"/>
          <w:szCs w:val="20"/>
          <w:b w:val="1"/>
          <w:bCs w:val="1"/>
          <w:color w:val="auto"/>
        </w:rPr>
        <w:t>відрізняється</w:t>
      </w:r>
      <w:r>
        <w:rPr>
          <w:rFonts w:ascii="Arial" w:cs="Arial" w:eastAsia="Arial" w:hAnsi="Arial"/>
          <w:sz w:val="20"/>
          <w:szCs w:val="20"/>
          <w:color w:val="auto"/>
        </w:rPr>
        <w:t xml:space="preserve"> тим, що голки виготовлені з стального прута круглого перерізу у вигляді подвійних V-подібних конструктивних елементів, а з обох боків диска виконані відповідні V-подібні та кільцеві виступи висотою в 1/2 діаметра голки.</w:t>
      </w:r>
    </w:p>
    <w:p>
      <w:pPr>
        <w:sectPr>
          <w:pgSz w:w="11900" w:h="16838" w:orient="portrait"/>
          <w:cols w:equalWidth="0" w:num="1">
            <w:col w:w="9606"/>
          </w:cols>
          <w:pgMar w:left="1174" w:top="352" w:right="1126" w:bottom="14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5026"/>
        <w:spacing w:after="0"/>
        <w:rPr>
          <w:sz w:val="20"/>
          <w:szCs w:val="20"/>
          <w:color w:val="auto"/>
        </w:rPr>
      </w:pPr>
      <w:r>
        <w:rPr>
          <w:rFonts w:ascii="Arial" w:cs="Arial" w:eastAsia="Arial" w:hAnsi="Arial"/>
          <w:sz w:val="17"/>
          <w:szCs w:val="17"/>
          <w:color w:val="auto"/>
        </w:rPr>
        <w:t>1</w:t>
      </w:r>
    </w:p>
    <w:p>
      <w:pPr>
        <w:sectPr>
          <w:pgSz w:w="11900" w:h="16838" w:orient="portrait"/>
          <w:cols w:equalWidth="0" w:num="1">
            <w:col w:w="9606"/>
          </w:cols>
          <w:pgMar w:left="1174" w:top="352" w:right="1126" w:bottom="147" w:gutter="0" w:footer="0" w:header="0"/>
          <w:type w:val="continuous"/>
        </w:sectPr>
      </w:pPr>
    </w:p>
    <w:bookmarkStart w:id="3" w:name="page4"/>
    <w:bookmarkEnd w:id="3"/>
    <w:p>
      <w:pPr>
        <w:ind w:left="3960"/>
        <w:spacing w:after="0"/>
        <w:tabs>
          <w:tab w:leader="none" w:pos="4480" w:val="left"/>
          <w:tab w:leader="none" w:pos="5480" w:val="left"/>
        </w:tabs>
        <w:rPr>
          <w:sz w:val="20"/>
          <w:szCs w:val="20"/>
          <w:color w:val="auto"/>
        </w:rPr>
      </w:pPr>
      <w:r>
        <w:rPr>
          <w:rFonts w:ascii="Arial" w:cs="Arial" w:eastAsia="Arial" w:hAnsi="Arial"/>
          <w:sz w:val="24"/>
          <w:szCs w:val="24"/>
          <w:color w:val="auto"/>
        </w:rPr>
        <w:t>UA</w:t>
        <w:tab/>
        <w:t>107872</w:t>
        <w:tab/>
        <w:t>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-64770</wp:posOffset>
            </wp:positionH>
            <wp:positionV relativeFrom="paragraph">
              <wp:posOffset>501650</wp:posOffset>
            </wp:positionV>
            <wp:extent cx="5864225" cy="81064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64225" cy="81064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13"/>
        <w:spacing w:after="0"/>
        <w:rPr>
          <w:sz w:val="20"/>
          <w:szCs w:val="20"/>
          <w:color w:val="auto"/>
        </w:rPr>
      </w:pPr>
      <w:r>
        <w:rPr>
          <w:rFonts w:ascii="Arial" w:cs="Arial" w:eastAsia="Arial" w:hAnsi="Arial"/>
          <w:sz w:val="16"/>
          <w:szCs w:val="16"/>
          <w:color w:val="auto"/>
        </w:rPr>
        <w:t>Комп’ютерна верстка В. Мацело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-64770</wp:posOffset>
            </wp:positionH>
            <wp:positionV relativeFrom="paragraph">
              <wp:posOffset>62230</wp:posOffset>
            </wp:positionV>
            <wp:extent cx="5864225" cy="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64225" cy="6350"/>
                    </a:xfrm>
                    <a:prstGeom prst="rect">
                      <a:avLst/>
                    </a:prstGeom>
                    <a:noFill/>
                  </pic:spPr>
                </pic:pic>
              </a:graphicData>
            </a:graphic>
          </wp:anchor>
        </w:drawing>
      </w:r>
    </w:p>
    <w:p>
      <w:pPr>
        <w:spacing w:after="0" w:line="358" w:lineRule="exact"/>
        <w:rPr>
          <w:sz w:val="20"/>
          <w:szCs w:val="20"/>
          <w:color w:val="auto"/>
        </w:rPr>
      </w:pPr>
    </w:p>
    <w:p>
      <w:pPr>
        <w:jc w:val="center"/>
        <w:ind w:right="6"/>
        <w:spacing w:after="0"/>
        <w:rPr>
          <w:sz w:val="20"/>
          <w:szCs w:val="20"/>
          <w:color w:val="auto"/>
        </w:rPr>
      </w:pPr>
      <w:r>
        <w:rPr>
          <w:rFonts w:ascii="Arial" w:cs="Arial" w:eastAsia="Arial" w:hAnsi="Arial"/>
          <w:sz w:val="16"/>
          <w:szCs w:val="16"/>
          <w:color w:val="auto"/>
        </w:rPr>
        <w:t>Державна служба інтелектуальної власності України, вул. Василя Липківського, 45, м. Київ, МСП, 03680, Україна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-64770</wp:posOffset>
            </wp:positionH>
            <wp:positionV relativeFrom="paragraph">
              <wp:posOffset>62230</wp:posOffset>
            </wp:positionV>
            <wp:extent cx="5864225" cy="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64225" cy="6350"/>
                    </a:xfrm>
                    <a:prstGeom prst="rect">
                      <a:avLst/>
                    </a:prstGeom>
                    <a:noFill/>
                  </pic:spPr>
                </pic:pic>
              </a:graphicData>
            </a:graphic>
          </wp:anchor>
        </w:drawing>
      </w:r>
    </w:p>
    <w:p>
      <w:pPr>
        <w:spacing w:after="0" w:line="202" w:lineRule="exact"/>
        <w:rPr>
          <w:sz w:val="20"/>
          <w:szCs w:val="20"/>
          <w:color w:val="auto"/>
        </w:rPr>
      </w:pPr>
    </w:p>
    <w:p>
      <w:pPr>
        <w:jc w:val="center"/>
        <w:ind w:right="-13"/>
        <w:spacing w:after="0"/>
        <w:rPr>
          <w:sz w:val="20"/>
          <w:szCs w:val="20"/>
          <w:color w:val="auto"/>
        </w:rPr>
      </w:pPr>
      <w:r>
        <w:rPr>
          <w:rFonts w:ascii="Arial" w:cs="Arial" w:eastAsia="Arial" w:hAnsi="Arial"/>
          <w:sz w:val="16"/>
          <w:szCs w:val="16"/>
          <w:color w:val="auto"/>
        </w:rPr>
        <w:t>ДП “Український інститут інтелектуальної власності”, вул. Глазунова, 1, м. Київ – 42, 01601</w:t>
      </w:r>
    </w:p>
    <w:p>
      <w:pPr>
        <w:sectPr>
          <w:pgSz w:w="11900" w:h="16838" w:orient="portrait"/>
          <w:cols w:equalWidth="0" w:num="1">
            <w:col w:w="9026"/>
          </w:cols>
          <w:pgMar w:left="1440" w:top="352" w:right="1440" w:bottom="14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4760"/>
        <w:spacing w:after="0"/>
        <w:rPr>
          <w:sz w:val="20"/>
          <w:szCs w:val="20"/>
          <w:color w:val="auto"/>
        </w:rPr>
      </w:pPr>
      <w:r>
        <w:rPr>
          <w:rFonts w:ascii="Arial" w:cs="Arial" w:eastAsia="Arial" w:hAnsi="Arial"/>
          <w:sz w:val="17"/>
          <w:szCs w:val="17"/>
          <w:color w:val="auto"/>
        </w:rPr>
        <w:t>2</w:t>
      </w:r>
    </w:p>
    <w:sectPr>
      <w:pgSz w:w="11900" w:h="16838" w:orient="portrait"/>
      <w:cols w:equalWidth="0" w:num="1">
        <w:col w:w="9026"/>
      </w:cols>
      <w:pgMar w:left="1440" w:top="352" w:right="1440" w:bottom="14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BD062C2"/>
    <w:multiLevelType w:val="hybridMultilevel"/>
    <w:lvl w:ilvl="0">
      <w:lvlJc w:val="left"/>
      <w:lvlText w:val="(%1)"/>
      <w:numFmt w:val="decimal"/>
      <w:start w:val="12"/>
    </w:lvl>
  </w:abstractNum>
  <w:abstractNum w:abstractNumId="1">
    <w:nsid w:val="12200854"/>
    <w:multiLevelType w:val="hybridMultilevel"/>
    <w:lvl w:ilvl="0">
      <w:lvlJc w:val="left"/>
      <w:lvlText w:val="(%1)"/>
      <w:numFmt w:val="decimal"/>
      <w:start w:val="22"/>
    </w:lvl>
  </w:abstractNum>
  <w:abstractNum w:abstractNumId="2">
    <w:nsid w:val="4DB127F8"/>
    <w:multiLevelType w:val="hybridMultilevel"/>
    <w:lvl w:ilvl="0">
      <w:lvlJc w:val="left"/>
      <w:lvlText w:val="(%1)"/>
      <w:numFmt w:val="decimal"/>
      <w:start w:val="24"/>
    </w:lvl>
  </w:abstractNum>
  <w:abstractNum w:abstractNumId="3">
    <w:nsid w:val="216231B"/>
    <w:multiLevelType w:val="hybridMultilevel"/>
    <w:lvl w:ilvl="0">
      <w:lvlJc w:val="left"/>
      <w:lvlText w:val="(%1)"/>
      <w:numFmt w:val="decimal"/>
      <w:start w:val="46"/>
    </w:lvl>
  </w:abstractNum>
  <w:abstractNum w:abstractNumId="4">
    <w:nsid w:val="1F16E9E8"/>
    <w:multiLevelType w:val="hybridMultilevel"/>
    <w:lvl w:ilvl="0">
      <w:lvlJc w:val="left"/>
      <w:lvlText w:val="(%1)"/>
      <w:numFmt w:val="decimal"/>
      <w:start w:val="72"/>
    </w:lvl>
  </w:abstractNum>
  <w:abstractNum w:abstractNumId="5">
    <w:nsid w:val="1190CDE7"/>
    <w:multiLevelType w:val="hybridMultilevel"/>
    <w:lvl w:ilvl="0">
      <w:lvlJc w:val="left"/>
      <w:lvlText w:val="(%1)"/>
      <w:numFmt w:val="decimal"/>
      <w:start w:val="54"/>
    </w:lvl>
  </w:abstractNum>
  <w:abstractNum w:abstractNumId="6">
    <w:nsid w:val="66EF438D"/>
    <w:multiLevelType w:val="hybridMultilevel"/>
    <w:lvl w:ilvl="0">
      <w:lvlJc w:val="left"/>
      <w:lvlText w:val="(%1)"/>
      <w:numFmt w:val="decimal"/>
      <w:start w:val="57"/>
    </w:lvl>
  </w:abstractNum>
  <w:abstractNum w:abstractNumId="7">
    <w:nsid w:val="140E0F76"/>
    <w:multiLevelType w:val="hybridMultilevel"/>
    <w:lvl w:ilvl="0">
      <w:lvlJc w:val="left"/>
      <w:lvlText w:val="%1"/>
      <w:numFmt w:val="decimal"/>
      <w:start w:val="5"/>
    </w:lvl>
  </w:abstractNum>
  <w:abstractNum w:abstractNumId="8">
    <w:nsid w:val="3352255A"/>
    <w:multiLevelType w:val="hybridMultilevel"/>
    <w:lvl w:ilvl="0">
      <w:lvlJc w:val="left"/>
      <w:lvlText w:val="%1"/>
      <w:numFmt w:val="decimal"/>
      <w:start w:val="10"/>
    </w:lvl>
  </w:abstractNum>
  <w:abstractNum w:abstractNumId="9">
    <w:nsid w:val="109CF92E"/>
    <w:multiLevelType w:val="hybridMultilevel"/>
    <w:lvl w:ilvl="0">
      <w:lvlJc w:val="left"/>
      <w:lvlText w:val="%1"/>
      <w:numFmt w:val="decimal"/>
      <w:start w:val="15"/>
    </w:lvl>
    <w:lvl w:ilvl="1">
      <w:lvlJc w:val="left"/>
      <w:lvlText w:val="В"/>
      <w:numFmt w:val="bullet"/>
      <w:start w:val="1"/>
    </w:lvl>
  </w:abstractNum>
  <w:abstractNum w:abstractNumId="10">
    <w:nsid w:val="DED7263"/>
    <w:multiLevelType w:val="hybridMultilevel"/>
    <w:lvl w:ilvl="0">
      <w:lvlJc w:val="left"/>
      <w:lvlText w:val="%1"/>
      <w:numFmt w:val="decimal"/>
      <w:start w:val="20"/>
    </w:lvl>
    <w:lvl w:ilvl="1">
      <w:lvlJc w:val="left"/>
      <w:lvlText w:val="В"/>
      <w:numFmt w:val="bullet"/>
      <w:start w:val="1"/>
    </w:lvl>
  </w:abstractNum>
  <w:abstractNum w:abstractNumId="11">
    <w:nsid w:val="7FDCC233"/>
    <w:multiLevelType w:val="hybridMultilevel"/>
    <w:lvl w:ilvl="0">
      <w:lvlJc w:val="left"/>
      <w:lvlText w:val="%1"/>
      <w:numFmt w:val="decimal"/>
      <w:start w:val="25"/>
    </w:lvl>
    <w:lvl w:ilvl="1">
      <w:lvlJc w:val="left"/>
      <w:lvlText w:val="В"/>
      <w:numFmt w:val="bullet"/>
      <w:start w:val="1"/>
    </w:lvl>
  </w:abstractNum>
  <w:abstractNum w:abstractNumId="12">
    <w:nsid w:val="1BEFD79F"/>
    <w:multiLevelType w:val="hybridMultilevel"/>
    <w:lvl w:ilvl="0">
      <w:lvlJc w:val="left"/>
      <w:lvlText w:val="%1"/>
      <w:numFmt w:val="decimal"/>
      <w:start w:val="30"/>
    </w:lvl>
    <w:lvl w:ilvl="1">
      <w:lvlJc w:val="left"/>
      <w:lvlText w:val="В"/>
      <w:numFmt w:val="bullet"/>
      <w:start w:val="1"/>
    </w:lvl>
  </w:abstractNum>
  <w:abstractNum w:abstractNumId="13">
    <w:nsid w:val="41A7C4C9"/>
    <w:multiLevelType w:val="hybridMultilevel"/>
    <w:lvl w:ilvl="0">
      <w:lvlJc w:val="left"/>
      <w:lvlText w:val="%1"/>
      <w:numFmt w:val="decimal"/>
      <w:start w:val="35"/>
    </w:lvl>
    <w:lvl w:ilvl="1">
      <w:lvlJc w:val="left"/>
      <w:lvlText w:val="В"/>
      <w:numFmt w:val="bullet"/>
      <w:start w:val="1"/>
    </w:lvl>
  </w:abstractNum>
  <w:abstractNum w:abstractNumId="14">
    <w:nsid w:val="6B68079A"/>
    <w:multiLevelType w:val="hybridMultilevel"/>
    <w:lvl w:ilvl="0">
      <w:lvlJc w:val="left"/>
      <w:lvlText w:val="%1"/>
      <w:numFmt w:val="decimal"/>
      <w:start w:val="40"/>
    </w:lvl>
    <w:lvl w:ilvl="1">
      <w:lvlJc w:val="left"/>
      <w:lvlText w:val="В"/>
      <w:numFmt w:val="bullet"/>
      <w:start w:val="1"/>
    </w:lvl>
  </w:abstractNum>
  <w:abstractNum w:abstractNumId="15">
    <w:nsid w:val="4E6AFB66"/>
    <w:multiLevelType w:val="hybridMultilevel"/>
    <w:lvl w:ilvl="0">
      <w:lvlJc w:val="left"/>
      <w:lvlText w:val="%1"/>
      <w:numFmt w:val="decimal"/>
      <w:start w:val="45"/>
    </w:lvl>
    <w:lvl w:ilvl="1">
      <w:lvlJc w:val="left"/>
      <w:lvlText w:val="В"/>
      <w:numFmt w:val="bullet"/>
      <w:start w:val="1"/>
    </w:lvl>
  </w:abstractNum>
  <w:abstractNum w:abstractNumId="16">
    <w:nsid w:val="25E45D32"/>
    <w:multiLevelType w:val="hybridMultilevel"/>
    <w:lvl w:ilvl="0">
      <w:lvlJc w:val="left"/>
      <w:lvlText w:val="%1"/>
      <w:numFmt w:val="decimal"/>
      <w:start w:val="50"/>
    </w:lvl>
    <w:lvl w:ilvl="1">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2019-01-09T01:33:55Z</dcterms:created>
  <dcterms:modified xsi:type="dcterms:W3CDTF">2019-01-09T01:33:55Z</dcterms:modified>
</cp:coreProperties>
</file>