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55A" w:rsidRDefault="00E5495B">
      <w:pPr>
        <w:pStyle w:val="23"/>
        <w:ind w:left="6372"/>
        <w:rPr>
          <w:rFonts w:ascii="Times" w:hAnsi="Times"/>
          <w:sz w:val="28"/>
          <w:lang w:val="uk-UA"/>
        </w:rPr>
      </w:pPr>
      <w:bookmarkStart w:id="0" w:name="_GoBack"/>
      <w:bookmarkEnd w:id="0"/>
      <w:r>
        <w:rPr>
          <w:rFonts w:ascii="Times" w:hAnsi="Times"/>
          <w:sz w:val="28"/>
          <w:lang w:val="uk-UA"/>
        </w:rPr>
        <w:t xml:space="preserve">ЗАТВЕРДЖЕНО </w:t>
      </w:r>
    </w:p>
    <w:p w:rsidR="0020155A" w:rsidRDefault="00E5495B">
      <w:pPr>
        <w:pStyle w:val="23"/>
        <w:ind w:left="6372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Наказ Міністерства </w:t>
      </w:r>
    </w:p>
    <w:p w:rsidR="0020155A" w:rsidRDefault="00E5495B">
      <w:pPr>
        <w:pStyle w:val="23"/>
        <w:ind w:left="6372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>освіти і науки України</w:t>
      </w:r>
    </w:p>
    <w:p w:rsidR="0020155A" w:rsidRDefault="00E5495B">
      <w:pPr>
        <w:pStyle w:val="23"/>
        <w:ind w:left="6372"/>
        <w:rPr>
          <w:rFonts w:ascii="Times" w:hAnsi="Times"/>
          <w:sz w:val="28"/>
          <w:lang w:val="uk-UA"/>
        </w:rPr>
      </w:pPr>
      <w:r>
        <w:rPr>
          <w:rFonts w:ascii="Times" w:hAnsi="Times"/>
          <w:sz w:val="28"/>
          <w:lang w:val="uk-UA"/>
        </w:rPr>
        <w:t xml:space="preserve"> ___. ___. 2022 № </w:t>
      </w:r>
    </w:p>
    <w:p w:rsidR="0020155A" w:rsidRDefault="0020155A">
      <w:pPr>
        <w:pStyle w:val="23"/>
        <w:ind w:left="5529"/>
        <w:jc w:val="both"/>
        <w:rPr>
          <w:sz w:val="28"/>
          <w:szCs w:val="28"/>
        </w:rPr>
      </w:pPr>
    </w:p>
    <w:p w:rsidR="0020155A" w:rsidRDefault="00E5495B">
      <w:pPr>
        <w:pStyle w:val="1"/>
        <w:shd w:val="clear" w:color="auto" w:fill="auto"/>
        <w:spacing w:after="0" w:line="220" w:lineRule="exact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Форма</w:t>
      </w:r>
    </w:p>
    <w:p w:rsidR="0020155A" w:rsidRDefault="0020155A">
      <w:pPr>
        <w:pStyle w:val="1"/>
        <w:shd w:val="clear" w:color="auto" w:fill="auto"/>
        <w:spacing w:after="0" w:line="278" w:lineRule="exact"/>
        <w:jc w:val="center"/>
        <w:rPr>
          <w:sz w:val="24"/>
          <w:szCs w:val="24"/>
        </w:rPr>
      </w:pPr>
      <w:bookmarkStart w:id="1" w:name="bookmark1"/>
    </w:p>
    <w:p w:rsidR="0020155A" w:rsidRDefault="00E5495B">
      <w:pPr>
        <w:pStyle w:val="1"/>
        <w:shd w:val="clear" w:color="auto" w:fill="auto"/>
        <w:spacing w:after="0" w:line="278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НАУКОВО-ЕКСПЕРТНИЙ ВИСНОВОК</w:t>
      </w:r>
      <w:bookmarkEnd w:id="1"/>
    </w:p>
    <w:p w:rsidR="0020155A" w:rsidRDefault="00E5495B">
      <w:pPr>
        <w:pStyle w:val="3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з оцінювання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науково-технічної (експериментальної) розробки</w:t>
      </w:r>
    </w:p>
    <w:p w:rsidR="0020155A" w:rsidRDefault="0020155A">
      <w:pPr>
        <w:pStyle w:val="1"/>
        <w:shd w:val="clear" w:color="auto" w:fill="auto"/>
        <w:spacing w:after="0" w:line="220" w:lineRule="exact"/>
        <w:rPr>
          <w:sz w:val="24"/>
          <w:szCs w:val="24"/>
        </w:rPr>
      </w:pPr>
    </w:p>
    <w:p w:rsidR="0020155A" w:rsidRDefault="00E5495B">
      <w:pPr>
        <w:pStyle w:val="1"/>
        <w:shd w:val="clear" w:color="auto" w:fill="auto"/>
        <w:spacing w:after="0"/>
        <w:rPr>
          <w:sz w:val="24"/>
          <w:szCs w:val="24"/>
        </w:rPr>
      </w:pPr>
      <w:r>
        <w:rPr>
          <w:b w:val="0"/>
          <w:sz w:val="24"/>
          <w:szCs w:val="24"/>
        </w:rPr>
        <w:t>за темою: _</w:t>
      </w:r>
      <w:r>
        <w:rPr>
          <w:sz w:val="24"/>
          <w:szCs w:val="24"/>
        </w:rPr>
        <w:t xml:space="preserve">______________________________________________________________________ </w:t>
      </w:r>
    </w:p>
    <w:p w:rsidR="0020155A" w:rsidRDefault="00E5495B">
      <w:pPr>
        <w:pStyle w:val="1"/>
        <w:shd w:val="clear" w:color="auto" w:fill="auto"/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:rsidR="0020155A" w:rsidRDefault="0020155A">
      <w:pPr>
        <w:pStyle w:val="a3"/>
        <w:rPr>
          <w:rFonts w:ascii="Times New Roman" w:hAnsi="Times New Roman"/>
          <w:sz w:val="24"/>
          <w:szCs w:val="24"/>
        </w:rPr>
      </w:pPr>
    </w:p>
    <w:p w:rsidR="0020155A" w:rsidRDefault="0020155A">
      <w:pPr>
        <w:pStyle w:val="1"/>
        <w:shd w:val="clear" w:color="auto" w:fill="auto"/>
        <w:spacing w:after="0" w:line="220" w:lineRule="exact"/>
        <w:rPr>
          <w:sz w:val="24"/>
          <w:szCs w:val="24"/>
        </w:rPr>
      </w:pPr>
    </w:p>
    <w:p w:rsidR="0020155A" w:rsidRDefault="00E5495B">
      <w:pPr>
        <w:pStyle w:val="1"/>
        <w:shd w:val="clear" w:color="auto" w:fill="auto"/>
        <w:spacing w:after="0" w:line="220" w:lineRule="exact"/>
        <w:rPr>
          <w:sz w:val="24"/>
          <w:szCs w:val="24"/>
          <w:u w:val="single"/>
        </w:rPr>
      </w:pPr>
      <w:r>
        <w:rPr>
          <w:b w:val="0"/>
          <w:sz w:val="24"/>
          <w:szCs w:val="24"/>
        </w:rPr>
        <w:t>Секція: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  <w:u w:val="single"/>
        </w:rPr>
        <w:t xml:space="preserve">________________________________________________________________________ </w:t>
      </w:r>
    </w:p>
    <w:p w:rsidR="0020155A" w:rsidRDefault="0020155A">
      <w:pPr>
        <w:pStyle w:val="1"/>
        <w:shd w:val="clear" w:color="auto" w:fill="auto"/>
        <w:spacing w:after="0" w:line="220" w:lineRule="exact"/>
        <w:rPr>
          <w:sz w:val="24"/>
          <w:szCs w:val="24"/>
          <w:u w:val="single"/>
        </w:rPr>
      </w:pPr>
    </w:p>
    <w:p w:rsidR="0020155A" w:rsidRDefault="0020155A">
      <w:pPr>
        <w:pStyle w:val="a3"/>
        <w:rPr>
          <w:rFonts w:ascii="Times New Roman" w:hAnsi="Times New Roman"/>
          <w:sz w:val="24"/>
          <w:szCs w:val="24"/>
        </w:rPr>
      </w:pPr>
    </w:p>
    <w:p w:rsidR="0020155A" w:rsidRDefault="00E5495B">
      <w:pPr>
        <w:pStyle w:val="2"/>
        <w:shd w:val="clear" w:color="auto" w:fill="auto"/>
        <w:spacing w:line="2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ЗАГАЛЬНІ ВИМОГИ </w:t>
      </w:r>
      <w:r>
        <w:rPr>
          <w:sz w:val="24"/>
          <w:szCs w:val="24"/>
        </w:rPr>
        <w:t>ДО ПРОЄКТУ ТА ЕКСПЕРТА</w:t>
      </w:r>
    </w:p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p w:rsidR="0020155A" w:rsidRDefault="00E5495B">
      <w:pPr>
        <w:pStyle w:val="a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представленого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sz w:val="24"/>
          <w:szCs w:val="24"/>
        </w:rPr>
        <w:t xml:space="preserve"> науковому напряму секції - </w:t>
      </w:r>
      <w:r>
        <w:rPr>
          <w:rFonts w:ascii="Times New Roman" w:hAnsi="Times New Roman"/>
          <w:sz w:val="24"/>
          <w:szCs w:val="24"/>
        </w:rPr>
        <w:tab/>
        <w:t xml:space="preserve">        ТАК      / НІ       </w:t>
      </w:r>
    </w:p>
    <w:p w:rsidR="0020155A" w:rsidRDefault="00E5495B">
      <w:pPr>
        <w:pStyle w:val="a3"/>
        <w:widowControl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 випадку відповіді «НІ» всіма експертами,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проєкт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має бути переданий Підрозділом на іншу секцію. У випадку різних відповідей експертами рі</w:t>
      </w:r>
      <w:r>
        <w:rPr>
          <w:rFonts w:ascii="Times New Roman" w:hAnsi="Times New Roman"/>
          <w:i/>
          <w:iCs/>
          <w:sz w:val="24"/>
          <w:szCs w:val="24"/>
        </w:rPr>
        <w:t>шення щодо відповідності напряму приймається на засіданні Секції.</w:t>
      </w:r>
    </w:p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p w:rsidR="0020155A" w:rsidRDefault="00E5495B">
      <w:pPr>
        <w:pStyle w:val="a3"/>
        <w:widowControl w:val="0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Відповідність наукового напряму експерта заявленій тематиці </w:t>
      </w:r>
      <w:proofErr w:type="spellStart"/>
      <w:r>
        <w:rPr>
          <w:rFonts w:ascii="Times New Roman" w:hAnsi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/>
          <w:sz w:val="24"/>
          <w:szCs w:val="24"/>
        </w:rPr>
        <w:t xml:space="preserve"> -   ТАК     / НІ     </w:t>
      </w:r>
    </w:p>
    <w:p w:rsidR="0020155A" w:rsidRDefault="00E5495B">
      <w:pPr>
        <w:pStyle w:val="a3"/>
        <w:widowControl w:val="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У випадку відповіді «НІ»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проєкт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має бути переданий іншому експерту.</w:t>
      </w:r>
    </w:p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p w:rsidR="0020155A" w:rsidRDefault="00E5495B">
      <w:pPr>
        <w:pStyle w:val="a4"/>
        <w:shd w:val="clear" w:color="auto" w:fill="auto"/>
        <w:spacing w:line="220" w:lineRule="exact"/>
        <w:rPr>
          <w:sz w:val="24"/>
          <w:szCs w:val="24"/>
        </w:rPr>
      </w:pPr>
      <w:r>
        <w:rPr>
          <w:sz w:val="24"/>
          <w:szCs w:val="24"/>
        </w:rPr>
        <w:t>РОЗДІЛ І. Змістовні показники</w:t>
      </w:r>
    </w:p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8702"/>
        <w:gridCol w:w="739"/>
      </w:tblGrid>
      <w:tr w:rsidR="0020155A">
        <w:trPr>
          <w:trHeight w:val="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Вимоги до роботи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Бали</w:t>
            </w:r>
          </w:p>
        </w:tc>
      </w:tr>
      <w:tr w:rsidR="0020155A">
        <w:trPr>
          <w:trHeight w:val="20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rStyle w:val="24"/>
                <w:sz w:val="24"/>
                <w:szCs w:val="24"/>
              </w:rPr>
              <w:t>Проєкт</w:t>
            </w:r>
            <w:proofErr w:type="spellEnd"/>
            <w:r>
              <w:rPr>
                <w:rStyle w:val="24"/>
                <w:sz w:val="24"/>
                <w:szCs w:val="24"/>
              </w:rPr>
              <w:t xml:space="preserve"> за тематикою та предметом спрямований на вирішення:</w:t>
            </w: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важливої наукової проблеми світового рівня, проблем в рамках пріоритетних напрямів розвитку науки України, безпеки та обороноздатності України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важливої </w:t>
            </w:r>
            <w:r>
              <w:rPr>
                <w:sz w:val="24"/>
                <w:szCs w:val="24"/>
              </w:rPr>
              <w:t>проблеми галузевого та/або регіонального значення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для уточнення існуючих наукових </w:t>
            </w: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  <w:r>
              <w:rPr>
                <w:sz w:val="24"/>
                <w:szCs w:val="24"/>
              </w:rPr>
              <w:t xml:space="preserve"> виконавців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актуальність сумнівна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 xml:space="preserve">Повнота використання світового досвіду при обґрунтуванні проблем, теми предмету, основних ідей, мети і завдань </w:t>
            </w:r>
            <w:r>
              <w:rPr>
                <w:rStyle w:val="24"/>
                <w:sz w:val="24"/>
                <w:szCs w:val="24"/>
              </w:rPr>
              <w:t>розробки.</w:t>
            </w: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враховано світовий та вітчизняний досвід, що підтверджується змістовними порівняннями та визначенням відмінностей роботи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недостатньо висвітлений світовий та вітчизняних досвід, а також відмінності розробки від наявних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незадовільна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Наукова новизна очікуваних результатів:</w:t>
            </w: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отримано вперше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направлені на удосконалення та розвиток існуючих наукових досягнень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очікувані результати не мають наукової новизни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 xml:space="preserve">Практична цінність очікуваних результатів </w:t>
            </w:r>
            <w:r>
              <w:rPr>
                <w:rStyle w:val="24"/>
                <w:sz w:val="24"/>
                <w:szCs w:val="24"/>
              </w:rPr>
              <w:t>роботи: (</w:t>
            </w:r>
            <w:r>
              <w:rPr>
                <w:rStyle w:val="24"/>
                <w:b w:val="0"/>
                <w:bCs w:val="0"/>
                <w:sz w:val="24"/>
                <w:szCs w:val="24"/>
              </w:rPr>
              <w:t>що підтверджується листами підтримки потенційних замовників)</w:t>
            </w: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світового рівня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національного рівня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регіонального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практична цінність відсутня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Матеріально технічне забезпечення:</w:t>
            </w:r>
          </w:p>
        </w:tc>
        <w:tc>
          <w:tcPr>
            <w:tcW w:w="73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відповідає вимогам для успішного </w:t>
            </w:r>
            <w:r>
              <w:rPr>
                <w:sz w:val="24"/>
                <w:szCs w:val="24"/>
              </w:rPr>
              <w:t xml:space="preserve">виконання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відповідає вимогам для задовільного виконання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не обґрунтована в </w:t>
            </w:r>
            <w:proofErr w:type="spellStart"/>
            <w:r>
              <w:rPr>
                <w:sz w:val="24"/>
                <w:szCs w:val="24"/>
              </w:rPr>
              <w:t>проєкті</w:t>
            </w:r>
            <w:proofErr w:type="spellEnd"/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 xml:space="preserve">РАЗОМ за Розділом І (0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30</w:t>
            </w:r>
            <w:r>
              <w:rPr>
                <w:rStyle w:val="24"/>
                <w:sz w:val="24"/>
                <w:szCs w:val="24"/>
              </w:rPr>
              <w:t>)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Якщо </w:t>
      </w:r>
      <w:proofErr w:type="spellStart"/>
      <w:r>
        <w:rPr>
          <w:rFonts w:ascii="Times New Roman" w:hAnsi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/>
          <w:sz w:val="24"/>
          <w:szCs w:val="24"/>
        </w:rPr>
        <w:t xml:space="preserve"> за Розділом І одержує сумарний бал </w:t>
      </w:r>
      <w:r>
        <w:rPr>
          <w:rFonts w:ascii="Times New Roman" w:hAnsi="Times New Roman"/>
          <w:b/>
          <w:sz w:val="24"/>
          <w:szCs w:val="24"/>
        </w:rPr>
        <w:t>менше 15</w:t>
      </w:r>
      <w:r>
        <w:rPr>
          <w:rFonts w:ascii="Times New Roman" w:hAnsi="Times New Roman"/>
          <w:sz w:val="24"/>
          <w:szCs w:val="24"/>
        </w:rPr>
        <w:t xml:space="preserve"> або має оцінку </w:t>
      </w:r>
      <w:r>
        <w:rPr>
          <w:rFonts w:ascii="Times New Roman" w:hAnsi="Times New Roman"/>
          <w:b/>
          <w:sz w:val="24"/>
          <w:szCs w:val="24"/>
        </w:rPr>
        <w:t>«0»</w:t>
      </w:r>
      <w:r>
        <w:rPr>
          <w:rFonts w:ascii="Times New Roman" w:hAnsi="Times New Roman"/>
          <w:sz w:val="24"/>
          <w:szCs w:val="24"/>
        </w:rPr>
        <w:t xml:space="preserve"> хоча б у одному з пунктів 1, 3, 4 він вважається</w:t>
      </w:r>
      <w:r>
        <w:rPr>
          <w:rFonts w:ascii="Times New Roman" w:hAnsi="Times New Roman"/>
          <w:b/>
          <w:i/>
          <w:sz w:val="24"/>
          <w:szCs w:val="24"/>
        </w:rPr>
        <w:t xml:space="preserve"> незадовільним </w:t>
      </w:r>
      <w:r>
        <w:rPr>
          <w:rFonts w:ascii="Times New Roman" w:hAnsi="Times New Roman"/>
          <w:sz w:val="24"/>
          <w:szCs w:val="24"/>
        </w:rPr>
        <w:t>незалежно від оцінок інших пунктів і розділів.</w:t>
      </w:r>
    </w:p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p w:rsidR="0020155A" w:rsidRDefault="00E5495B">
      <w:pPr>
        <w:pStyle w:val="3"/>
        <w:shd w:val="clear" w:color="auto" w:fill="auto"/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РОЗДІЛ II. Науковий доробок та досвід авторів за напрямом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(за попередні 5 років (включно з роком подання запиту)) </w:t>
      </w:r>
      <w:r>
        <w:rPr>
          <w:rStyle w:val="33"/>
          <w:sz w:val="24"/>
          <w:szCs w:val="24"/>
        </w:rPr>
        <w:t xml:space="preserve">Оцінюються показники на відповідність напряму, меті, об’єкту, предмету та завданням </w:t>
      </w:r>
      <w:proofErr w:type="spellStart"/>
      <w:r>
        <w:rPr>
          <w:rStyle w:val="33"/>
          <w:sz w:val="24"/>
          <w:szCs w:val="24"/>
        </w:rPr>
        <w:t>проєкту</w:t>
      </w:r>
      <w:proofErr w:type="spellEnd"/>
      <w:r>
        <w:rPr>
          <w:rStyle w:val="33"/>
          <w:sz w:val="24"/>
          <w:szCs w:val="24"/>
        </w:rPr>
        <w:t xml:space="preserve">. Експерт зобов’язаний не зараховувати їх </w:t>
      </w:r>
      <w:r>
        <w:rPr>
          <w:sz w:val="24"/>
          <w:szCs w:val="24"/>
        </w:rPr>
        <w:t>у разі повної невідповідності.</w:t>
      </w:r>
    </w:p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7088"/>
        <w:gridCol w:w="1460"/>
        <w:gridCol w:w="1091"/>
      </w:tblGrid>
      <w:tr w:rsidR="0020155A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Назви показників доробку (значення показників беруться із запиту)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Значення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Бали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Сумарний </w:t>
            </w:r>
            <w:r>
              <w:rPr>
                <w:sz w:val="24"/>
                <w:szCs w:val="24"/>
                <w:lang w:bidi="en-US"/>
              </w:rPr>
              <w:t>h</w:t>
            </w:r>
            <w:r>
              <w:rPr>
                <w:sz w:val="24"/>
                <w:szCs w:val="24"/>
              </w:rPr>
              <w:t xml:space="preserve">-індекс керівника та 4 авторів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згідно </w:t>
            </w:r>
            <w:r>
              <w:rPr>
                <w:sz w:val="24"/>
                <w:szCs w:val="24"/>
                <w:lang w:eastAsia="ru-RU" w:bidi="ru-RU"/>
              </w:rPr>
              <w:t xml:space="preserve">БД </w:t>
            </w:r>
            <w:proofErr w:type="spellStart"/>
            <w:r>
              <w:rPr>
                <w:sz w:val="24"/>
                <w:szCs w:val="24"/>
                <w:lang w:bidi="en-US"/>
              </w:rPr>
              <w:t>Scopus</w:t>
            </w:r>
            <w:proofErr w:type="spellEnd"/>
            <w:r>
              <w:rPr>
                <w:sz w:val="24"/>
                <w:szCs w:val="24"/>
                <w:lang w:bidi="en-US"/>
              </w:rPr>
              <w:t xml:space="preserve"> </w:t>
            </w:r>
            <w:r>
              <w:rPr>
                <w:sz w:val="24"/>
                <w:szCs w:val="24"/>
              </w:rPr>
              <w:t xml:space="preserve">або </w:t>
            </w:r>
            <w:proofErr w:type="spellStart"/>
            <w:r>
              <w:rPr>
                <w:sz w:val="24"/>
                <w:szCs w:val="24"/>
                <w:lang w:bidi="en-US"/>
              </w:rPr>
              <w:t>WoS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і більше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опублікованих статей у наукових журналах, збірниках наукових праць, матеріалах конференцій тощо, що входять до </w:t>
            </w:r>
            <w:r>
              <w:rPr>
                <w:sz w:val="24"/>
                <w:szCs w:val="24"/>
              </w:rPr>
              <w:t xml:space="preserve">науково-метричних баз даних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(в тому числі у наукових фахових журналах України, що відносяться до категорії «А»),</w:t>
            </w:r>
            <w:r>
              <w:t xml:space="preserve"> а також</w:t>
            </w:r>
            <w:r>
              <w:rPr>
                <w:b/>
              </w:rPr>
              <w:t xml:space="preserve"> </w:t>
            </w:r>
            <w:r>
              <w:t xml:space="preserve">публікації у виданнях, які містять інформацію, що становить 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</w:t>
            </w:r>
            <w:r>
              <w:t>изначення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і більше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опублікованих статей у наукових фахових журналах України, що відносяться до категорії «Б», статті у закордонних наукових виданнях, що не оцінені за п.2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1-6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і більше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менше 3 д.а.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Монографії (розділи монографій) за напрямом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(враховуються друковані аркуші тільки авторського внеску), </w:t>
            </w:r>
            <w:r>
              <w:t>а також</w:t>
            </w:r>
            <w:r>
              <w:rPr>
                <w:b/>
              </w:rPr>
              <w:t xml:space="preserve"> </w:t>
            </w:r>
            <w:r>
              <w:t xml:space="preserve">монографії, які містять інформацію, що становить 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призначення</w:t>
            </w:r>
            <w:r>
              <w:rPr>
                <w:sz w:val="24"/>
                <w:szCs w:val="24"/>
              </w:rPr>
              <w:t xml:space="preserve"> які не входять в </w:t>
            </w:r>
            <w:r>
              <w:rPr>
                <w:sz w:val="24"/>
                <w:szCs w:val="24"/>
              </w:rPr>
              <w:t>п.2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 д.а.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д.а.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д.а. і більше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Захищені дисертації доктора філософії (кандидата наук) авторами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або під керівництвом авторів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Захищені дисертації доктора наук авторами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або </w:t>
            </w:r>
            <w:r>
              <w:rPr>
                <w:sz w:val="24"/>
                <w:szCs w:val="24"/>
              </w:rPr>
              <w:t xml:space="preserve">під консультуванням авторів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Кількість </w:t>
            </w:r>
            <w:proofErr w:type="spellStart"/>
            <w:r>
              <w:rPr>
                <w:sz w:val="24"/>
                <w:szCs w:val="24"/>
              </w:rPr>
              <w:t>загальноуніверситетських</w:t>
            </w:r>
            <w:proofErr w:type="spellEnd"/>
            <w:r>
              <w:rPr>
                <w:sz w:val="24"/>
                <w:szCs w:val="24"/>
              </w:rPr>
              <w:t xml:space="preserve"> наукових грантів та </w:t>
            </w: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  <w:r>
              <w:rPr>
                <w:sz w:val="24"/>
                <w:szCs w:val="24"/>
              </w:rPr>
              <w:t xml:space="preserve">, зокрема тих, що фінансуються з бюджету МОН України, за тематикою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, за якими працювали автори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, що фінансувались </w:t>
            </w:r>
            <w:r>
              <w:rPr>
                <w:sz w:val="24"/>
                <w:szCs w:val="24"/>
              </w:rPr>
              <w:t>закордонними та/чи вітчизняними організаціями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менше 50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Авторами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виконано договорів з наукової тематики, що фінансуються із спеціального фонду на суму (тис. грн.) (з відповідним підтвердженням довідкою з бухгалтерії </w:t>
            </w:r>
            <w:r>
              <w:rPr>
                <w:sz w:val="24"/>
                <w:szCs w:val="24"/>
              </w:rPr>
              <w:t>закладу/установи)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50-250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251-500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501-1000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понад 1001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Отримані патенти на винаходи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і більше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Отримані охоронні документи на об’єкти права інтелектуальної власності (ОПІВ), які не увійшли у п.9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і </w:t>
            </w:r>
            <w:r>
              <w:rPr>
                <w:sz w:val="24"/>
                <w:szCs w:val="24"/>
              </w:rPr>
              <w:t>більше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немає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Наявність раніше створених регламентів, пристроїв, технологій, обладнання, стандартів,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нормативно-правових і методичних документів, творів, складових частин технології, які оприбутковані організацією-виконавцем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та/або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зареєстровані в реєстрі технологій та/або передані організації-замовнику (підтвердження-довідка з установи) та/або які продані чи передані у користування на підставі ліцензійних договорів.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і більше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ЗВО/НУ атестовано за науковим </w:t>
            </w:r>
            <w:r>
              <w:rPr>
                <w:sz w:val="24"/>
                <w:szCs w:val="24"/>
              </w:rPr>
              <w:t>напрямом, що відповідає напряму досліджень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0155A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tabs>
                <w:tab w:val="left" w:pos="230"/>
                <w:tab w:val="left" w:pos="735"/>
              </w:tabs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Наявність у авторів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нагород (</w:t>
            </w:r>
            <w:r>
              <w:rPr>
                <w:i/>
                <w:sz w:val="24"/>
                <w:szCs w:val="24"/>
                <w:u w:val="single"/>
              </w:rPr>
              <w:t>враховується лише одна найвища</w:t>
            </w:r>
            <w:r>
              <w:rPr>
                <w:i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tabs>
                <w:tab w:val="left" w:pos="23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державних премій України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t>в галузі науки і техніки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премій Кабінету Міністрів України за розроблення і впровадження </w:t>
            </w:r>
            <w:r>
              <w:rPr>
                <w:sz w:val="24"/>
                <w:szCs w:val="24"/>
              </w:rPr>
              <w:t>інноваційних технологій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міжнародних відзнак за результатами інноваційної діяльності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переможці Всеукраїнського конкурсу «Винахід року».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rStyle w:val="24"/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РАЗОМ за Розділом II (0 - 30)</w:t>
            </w:r>
          </w:p>
          <w:p w:rsidR="0020155A" w:rsidRDefault="00E5495B">
            <w:pPr>
              <w:spacing w:after="0" w:line="240" w:lineRule="auto"/>
              <w:ind w:right="-10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*1. Показники авторів, залучених з інших організацій, не зараховуються, якщо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вони перевищують сумарні показники авторів, які є працівниками ЗВО/НУ від якого подається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проєкт</w:t>
            </w:r>
            <w:proofErr w:type="spellEnd"/>
          </w:p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2. </w:t>
            </w:r>
            <w:proofErr w:type="spellStart"/>
            <w:r>
              <w:rPr>
                <w:i/>
                <w:sz w:val="24"/>
                <w:szCs w:val="24"/>
              </w:rPr>
              <w:t>Квартилі</w:t>
            </w:r>
            <w:proofErr w:type="spellEnd"/>
            <w:r>
              <w:rPr>
                <w:i/>
                <w:sz w:val="24"/>
                <w:szCs w:val="24"/>
              </w:rPr>
              <w:t xml:space="preserve"> Q визначаються за класифікацією </w:t>
            </w:r>
            <w:proofErr w:type="spellStart"/>
            <w:r>
              <w:rPr>
                <w:i/>
                <w:sz w:val="24"/>
                <w:szCs w:val="24"/>
              </w:rPr>
              <w:t>Journal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Citation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i/>
                <w:sz w:val="24"/>
                <w:szCs w:val="24"/>
              </w:rPr>
              <w:t>Reports</w:t>
            </w:r>
            <w:proofErr w:type="spellEnd"/>
            <w:r>
              <w:rPr>
                <w:i/>
                <w:sz w:val="24"/>
                <w:szCs w:val="24"/>
              </w:rPr>
              <w:t xml:space="preserve"> або </w:t>
            </w:r>
            <w:proofErr w:type="spellStart"/>
            <w:r>
              <w:rPr>
                <w:i/>
                <w:sz w:val="24"/>
                <w:szCs w:val="24"/>
              </w:rPr>
              <w:t>Scimago</w:t>
            </w:r>
            <w:proofErr w:type="spellEnd"/>
            <w:r>
              <w:rPr>
                <w:i/>
                <w:sz w:val="24"/>
                <w:szCs w:val="24"/>
              </w:rPr>
              <w:t>; якщо журнал має кілька предметних областей (категорій) з однаковими або різн</w:t>
            </w:r>
            <w:r>
              <w:rPr>
                <w:i/>
                <w:sz w:val="24"/>
                <w:szCs w:val="24"/>
              </w:rPr>
              <w:t xml:space="preserve">ими значеннями </w:t>
            </w:r>
            <w:proofErr w:type="spellStart"/>
            <w:r>
              <w:rPr>
                <w:i/>
                <w:sz w:val="24"/>
                <w:szCs w:val="24"/>
              </w:rPr>
              <w:t>квартилей</w:t>
            </w:r>
            <w:proofErr w:type="spellEnd"/>
            <w:r>
              <w:rPr>
                <w:i/>
                <w:sz w:val="24"/>
                <w:szCs w:val="24"/>
              </w:rPr>
              <w:t xml:space="preserve"> по кожній області (категорії) або в різних БД </w:t>
            </w:r>
            <w:proofErr w:type="spellStart"/>
            <w:r>
              <w:rPr>
                <w:i/>
                <w:sz w:val="24"/>
                <w:szCs w:val="24"/>
              </w:rPr>
              <w:t>Scopus</w:t>
            </w:r>
            <w:proofErr w:type="spellEnd"/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i/>
                <w:sz w:val="24"/>
                <w:szCs w:val="24"/>
              </w:rPr>
              <w:t>WoS</w:t>
            </w:r>
            <w:proofErr w:type="spellEnd"/>
            <w:r>
              <w:rPr>
                <w:i/>
                <w:sz w:val="24"/>
                <w:szCs w:val="24"/>
              </w:rPr>
              <w:t xml:space="preserve">, то зазначається найвище значення </w:t>
            </w:r>
            <w:proofErr w:type="spellStart"/>
            <w:r>
              <w:rPr>
                <w:i/>
                <w:sz w:val="24"/>
                <w:szCs w:val="24"/>
              </w:rPr>
              <w:t>квартилю</w:t>
            </w:r>
            <w:proofErr w:type="spellEnd"/>
          </w:p>
        </w:tc>
      </w:tr>
    </w:tbl>
    <w:p w:rsidR="0020155A" w:rsidRDefault="0020155A">
      <w:pPr>
        <w:pStyle w:val="1"/>
        <w:shd w:val="clear" w:color="auto" w:fill="auto"/>
        <w:spacing w:after="0" w:line="220" w:lineRule="exact"/>
        <w:ind w:right="225"/>
        <w:jc w:val="both"/>
        <w:rPr>
          <w:sz w:val="24"/>
          <w:szCs w:val="24"/>
        </w:rPr>
      </w:pPr>
      <w:bookmarkStart w:id="2" w:name="bookmark2"/>
    </w:p>
    <w:p w:rsidR="0020155A" w:rsidRDefault="00E5495B">
      <w:pPr>
        <w:pStyle w:val="1"/>
        <w:shd w:val="clear" w:color="auto" w:fill="auto"/>
        <w:spacing w:after="0" w:line="220" w:lineRule="exact"/>
        <w:ind w:right="2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РОЗДІЛ III. Очікувані результати за темою </w:t>
      </w:r>
      <w:proofErr w:type="spellStart"/>
      <w:r>
        <w:rPr>
          <w:sz w:val="24"/>
          <w:szCs w:val="24"/>
        </w:rPr>
        <w:t>проєкту</w:t>
      </w:r>
      <w:bookmarkEnd w:id="2"/>
      <w:proofErr w:type="spellEnd"/>
    </w:p>
    <w:p w:rsidR="0020155A" w:rsidRDefault="0020155A">
      <w:pPr>
        <w:pStyle w:val="1"/>
        <w:shd w:val="clear" w:color="auto" w:fill="auto"/>
        <w:spacing w:after="0" w:line="220" w:lineRule="exact"/>
        <w:ind w:left="86" w:right="225"/>
        <w:jc w:val="both"/>
        <w:rPr>
          <w:sz w:val="24"/>
          <w:szCs w:val="24"/>
        </w:rPr>
      </w:pPr>
    </w:p>
    <w:tbl>
      <w:tblPr>
        <w:tblW w:w="10286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7027"/>
        <w:gridCol w:w="1814"/>
        <w:gridCol w:w="874"/>
      </w:tblGrid>
      <w:tr w:rsidR="0020155A"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Назви показників очікуваних результатів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Значення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Бали</w:t>
            </w:r>
          </w:p>
        </w:tc>
      </w:tr>
      <w:tr w:rsidR="0020155A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 створено </w:t>
            </w:r>
            <w:r>
              <w:rPr>
                <w:sz w:val="24"/>
                <w:szCs w:val="24"/>
              </w:rPr>
              <w:t>нові чи істотно вдосконалені існуючі (</w:t>
            </w:r>
            <w:r>
              <w:rPr>
                <w:sz w:val="24"/>
                <w:szCs w:val="24"/>
                <w:u w:val="single"/>
              </w:rPr>
              <w:t>обрати одну позицію із списку, яка є найбільш релевантною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color w:val="000000"/>
                <w:lang w:val="uk-UA"/>
              </w:rPr>
              <w:t>- пристрої (експериментальний/дослідний зразок)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- матеріали, технології, процеси, технологічні регламенти продукти в </w:t>
            </w:r>
            <w:proofErr w:type="spellStart"/>
            <w:r>
              <w:rPr>
                <w:color w:val="000000"/>
                <w:lang w:val="uk-UA"/>
              </w:rPr>
              <w:t>т.ч</w:t>
            </w:r>
            <w:proofErr w:type="spellEnd"/>
            <w:r>
              <w:rPr>
                <w:color w:val="000000"/>
                <w:lang w:val="uk-UA"/>
              </w:rPr>
              <w:t>. програмні;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20155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a6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- </w:t>
            </w:r>
            <w:r>
              <w:rPr>
                <w:color w:val="000000"/>
                <w:lang w:val="uk-UA"/>
              </w:rPr>
              <w:t xml:space="preserve">ТУ, ДСТУ, будівельні норми, зареєстровані </w:t>
            </w:r>
            <w:proofErr w:type="spellStart"/>
            <w:r>
              <w:rPr>
                <w:color w:val="000000"/>
                <w:lang w:val="uk-UA"/>
              </w:rPr>
              <w:t>проєкти</w:t>
            </w:r>
            <w:proofErr w:type="spellEnd"/>
            <w:r>
              <w:rPr>
                <w:color w:val="000000"/>
                <w:lang w:val="uk-UA"/>
              </w:rPr>
              <w:t xml:space="preserve"> законодавчих актів;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20155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a6"/>
              <w:spacing w:line="240" w:lineRule="auto"/>
              <w:ind w:left="0" w:firstLine="0"/>
              <w:rPr>
                <w:lang w:val="uk-UA"/>
              </w:rPr>
            </w:pPr>
            <w:r>
              <w:rPr>
                <w:color w:val="000000"/>
                <w:lang w:val="uk-UA"/>
              </w:rPr>
              <w:t>- послуги.</w:t>
            </w:r>
          </w:p>
        </w:tc>
        <w:tc>
          <w:tcPr>
            <w:tcW w:w="181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20155A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 укладено господарчі договори, ліцензійні угоди, отримано гранти як впровадження (апробація) наукових або науково-практичних результатів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(загальна сума </w:t>
            </w:r>
            <w:r>
              <w:rPr>
                <w:sz w:val="24"/>
                <w:szCs w:val="24"/>
              </w:rPr>
              <w:t xml:space="preserve">за весь період виконання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100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 xml:space="preserve"> до 300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 300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  <w:r>
              <w:rPr>
                <w:sz w:val="24"/>
                <w:szCs w:val="24"/>
              </w:rPr>
              <w:t xml:space="preserve"> до 600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понад 600 </w:t>
            </w:r>
            <w:proofErr w:type="spellStart"/>
            <w:r>
              <w:rPr>
                <w:sz w:val="24"/>
                <w:szCs w:val="24"/>
              </w:rPr>
              <w:t>тис.грн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0155A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Буде отримано охоронних документів на об’єкти права інтелектуальної власності (у тому числі </w:t>
            </w:r>
            <w:proofErr w:type="spellStart"/>
            <w:r>
              <w:rPr>
                <w:sz w:val="24"/>
                <w:szCs w:val="24"/>
              </w:rPr>
              <w:t>свідоцтв</w:t>
            </w:r>
            <w:proofErr w:type="spellEnd"/>
            <w:r>
              <w:rPr>
                <w:sz w:val="24"/>
                <w:szCs w:val="24"/>
              </w:rPr>
              <w:t xml:space="preserve"> на авторський </w:t>
            </w:r>
            <w:r>
              <w:rPr>
                <w:sz w:val="24"/>
                <w:szCs w:val="24"/>
              </w:rPr>
              <w:t>твір) (</w:t>
            </w:r>
            <w:r>
              <w:rPr>
                <w:i/>
                <w:sz w:val="24"/>
                <w:szCs w:val="24"/>
                <w:u w:val="single"/>
              </w:rPr>
              <w:t>обрати одну із позицій, яка найбільш релевантна</w:t>
            </w:r>
            <w:r>
              <w:rPr>
                <w:sz w:val="24"/>
                <w:szCs w:val="24"/>
              </w:rPr>
              <w:t>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патенти на винахід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і більше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патенти на корисну модель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і більше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свідоцтва на авторський твір, патент на промисловий зразок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і більше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55A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Будуть представлені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науково-практичні результати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міжнародних комунікативних форумах, всеукраїнських та регіональних науково-технічних/промислових виставкових заходах, в мережі підприємств, що підтверджується відповідним сертифікатом чи посиланням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ел.версію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заход</w:t>
            </w:r>
            <w:r>
              <w:rPr>
                <w:rFonts w:ascii="Times New Roman" w:hAnsi="Times New Roman"/>
                <w:sz w:val="24"/>
                <w:szCs w:val="24"/>
              </w:rPr>
              <w:t>у/матеріалів/каталогів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55A">
        <w:trPr>
          <w:trHeight w:val="562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і більше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0155A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Будуть опубліковані статті у наукових журналах, збірниках наукових праць, матеріалах конференцій тощо, що входять до науково-метричних баз даних </w:t>
            </w:r>
            <w:proofErr w:type="spellStart"/>
            <w:r>
              <w:rPr>
                <w:sz w:val="24"/>
                <w:szCs w:val="24"/>
              </w:rPr>
              <w:t>WoS</w:t>
            </w:r>
            <w:proofErr w:type="spellEnd"/>
            <w:r>
              <w:rPr>
                <w:sz w:val="24"/>
                <w:szCs w:val="24"/>
              </w:rPr>
              <w:t xml:space="preserve"> та/або </w:t>
            </w:r>
            <w:proofErr w:type="spellStart"/>
            <w:r>
              <w:rPr>
                <w:sz w:val="24"/>
                <w:szCs w:val="24"/>
              </w:rPr>
              <w:t>Scopus</w:t>
            </w:r>
            <w:proofErr w:type="spellEnd"/>
            <w:r>
              <w:rPr>
                <w:sz w:val="24"/>
                <w:szCs w:val="24"/>
              </w:rPr>
              <w:t xml:space="preserve"> (в тому числі у наукових журналах України, що відносяться до категорії «А»), </w:t>
            </w:r>
            <w:r>
              <w:t>а також</w:t>
            </w:r>
            <w:r>
              <w:rPr>
                <w:b/>
              </w:rPr>
              <w:t xml:space="preserve"> </w:t>
            </w:r>
            <w:r>
              <w:t>публікац</w:t>
            </w:r>
            <w:r>
              <w:t xml:space="preserve">ії у виданнях, які містять інформацію, що становить </w:t>
            </w:r>
            <w:r>
              <w:lastRenderedPageBreak/>
              <w:t xml:space="preserve">державну таємницю для </w:t>
            </w:r>
            <w:proofErr w:type="spellStart"/>
            <w:r>
              <w:t>проєктів</w:t>
            </w:r>
            <w:proofErr w:type="spellEnd"/>
            <w:r>
              <w:t xml:space="preserve"> оборонного і подвійного призначення.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0155A">
        <w:trPr>
          <w:trHeight w:val="2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і більше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0155A">
        <w:trPr>
          <w:trHeight w:val="20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0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Виконавці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представлять розробку/бізнес-план в конкурсах інноваційних фестивалів та/ або </w:t>
            </w:r>
            <w:proofErr w:type="spellStart"/>
            <w:r>
              <w:rPr>
                <w:sz w:val="24"/>
                <w:szCs w:val="24"/>
              </w:rPr>
              <w:t>стартапів</w:t>
            </w:r>
            <w:proofErr w:type="spellEnd"/>
            <w:r>
              <w:rPr>
                <w:sz w:val="24"/>
                <w:szCs w:val="24"/>
              </w:rPr>
              <w:t xml:space="preserve"> та / або </w:t>
            </w:r>
            <w:proofErr w:type="spellStart"/>
            <w:r>
              <w:rPr>
                <w:sz w:val="24"/>
                <w:szCs w:val="24"/>
              </w:rPr>
              <w:t>акселераційних</w:t>
            </w:r>
            <w:proofErr w:type="spellEnd"/>
            <w:r>
              <w:rPr>
                <w:sz w:val="24"/>
                <w:szCs w:val="24"/>
              </w:rPr>
              <w:t xml:space="preserve"> програмах та /або </w:t>
            </w:r>
            <w:proofErr w:type="spellStart"/>
            <w:r>
              <w:rPr>
                <w:sz w:val="24"/>
                <w:szCs w:val="24"/>
              </w:rPr>
              <w:t>хакатонах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0155A">
        <w:trPr>
          <w:trHeight w:val="228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0155A">
        <w:trPr>
          <w:trHeight w:val="300"/>
        </w:trPr>
        <w:tc>
          <w:tcPr>
            <w:tcW w:w="57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70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pStyle w:val="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і більше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20155A">
        <w:trPr>
          <w:trHeight w:val="20"/>
        </w:trPr>
        <w:tc>
          <w:tcPr>
            <w:tcW w:w="10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 xml:space="preserve">РАЗОМ за Розділом III (0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rStyle w:val="24"/>
                <w:sz w:val="24"/>
                <w:szCs w:val="24"/>
              </w:rPr>
              <w:t>40)</w:t>
            </w:r>
          </w:p>
        </w:tc>
      </w:tr>
    </w:tbl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0"/>
        <w:gridCol w:w="993"/>
      </w:tblGrid>
      <w:tr w:rsidR="0020155A">
        <w:trPr>
          <w:trHeight w:val="20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5A" w:rsidRDefault="00E5495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ІV. Сума показників за Розділами I – IІІ</w:t>
            </w:r>
          </w:p>
          <w:p w:rsidR="0020155A" w:rsidRDefault="002015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0155A" w:rsidRDefault="002015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55A" w:rsidRDefault="00E5495B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Сума:</w:t>
            </w:r>
          </w:p>
          <w:p w:rsidR="0020155A" w:rsidRDefault="0020155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155A" w:rsidRDefault="00E549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0378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8"/>
        <w:gridCol w:w="8294"/>
        <w:gridCol w:w="1426"/>
      </w:tblGrid>
      <w:tr w:rsidR="0020155A">
        <w:trPr>
          <w:trHeight w:hRule="exact" w:val="302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V.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Експерт вважає, що строки виконання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34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</w:t>
            </w:r>
          </w:p>
        </w:tc>
      </w:tr>
      <w:tr w:rsidR="0020155A">
        <w:trPr>
          <w:trHeight w:hRule="exact" w:val="288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обґрунтовані добре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    НІ</w:t>
            </w:r>
          </w:p>
        </w:tc>
      </w:tr>
      <w:tr w:rsidR="0020155A">
        <w:trPr>
          <w:trHeight w:hRule="exact" w:val="293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обґрунтовані задовільно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    НІ</w:t>
            </w:r>
          </w:p>
        </w:tc>
      </w:tr>
      <w:tr w:rsidR="0020155A">
        <w:trPr>
          <w:trHeight w:hRule="exact" w:val="288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викликають сумніви, доцільно збільшити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    НІ</w:t>
            </w:r>
          </w:p>
        </w:tc>
      </w:tr>
      <w:tr w:rsidR="0020155A">
        <w:trPr>
          <w:trHeight w:hRule="exact" w:val="288"/>
        </w:trPr>
        <w:tc>
          <w:tcPr>
            <w:tcW w:w="658" w:type="dxa"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викликають сумніви, доцільно зменшити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    НІ</w:t>
            </w:r>
          </w:p>
        </w:tc>
      </w:tr>
      <w:tr w:rsidR="0020155A">
        <w:trPr>
          <w:trHeight w:hRule="exact" w:val="302"/>
        </w:trPr>
        <w:tc>
          <w:tcPr>
            <w:tcW w:w="6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201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обґрунтовані незадовільно або необґрунтовані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    НІ</w:t>
            </w:r>
          </w:p>
        </w:tc>
      </w:tr>
    </w:tbl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038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8294"/>
        <w:gridCol w:w="1435"/>
      </w:tblGrid>
      <w:tr w:rsidR="0020155A">
        <w:trPr>
          <w:trHeight w:hRule="exact" w:val="302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VI.</w:t>
            </w: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Експерт вважає, що фінансування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Обрати</w:t>
            </w:r>
          </w:p>
        </w:tc>
      </w:tr>
      <w:tr w:rsidR="0020155A">
        <w:trPr>
          <w:trHeight w:hRule="exact" w:val="288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обґрунтовано добре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    НІ</w:t>
            </w:r>
          </w:p>
        </w:tc>
      </w:tr>
      <w:tr w:rsidR="0020155A">
        <w:trPr>
          <w:trHeight w:hRule="exact" w:val="288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обґрунтовано задовільно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    НІ</w:t>
            </w:r>
          </w:p>
        </w:tc>
      </w:tr>
      <w:tr w:rsidR="0020155A">
        <w:trPr>
          <w:trHeight w:hRule="exact" w:val="288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викликає сумніви, занадто високе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    НІ</w:t>
            </w:r>
          </w:p>
        </w:tc>
      </w:tr>
      <w:tr w:rsidR="0020155A">
        <w:trPr>
          <w:trHeight w:hRule="exact" w:val="288"/>
        </w:trPr>
        <w:tc>
          <w:tcPr>
            <w:tcW w:w="653" w:type="dxa"/>
            <w:tcBorders>
              <w:left w:val="single" w:sz="4" w:space="0" w:color="auto"/>
            </w:tcBorders>
            <w:shd w:val="clear" w:color="auto" w:fill="FFFFFF"/>
          </w:tcPr>
          <w:p w:rsidR="0020155A" w:rsidRDefault="00201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викликає сумніви, занадто низьке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    НІ</w:t>
            </w:r>
          </w:p>
        </w:tc>
      </w:tr>
      <w:tr w:rsidR="0020155A">
        <w:trPr>
          <w:trHeight w:hRule="exact" w:val="302"/>
        </w:trPr>
        <w:tc>
          <w:tcPr>
            <w:tcW w:w="6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0155A" w:rsidRDefault="002015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ind w:left="4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обґрунтовано незадовільно або необґрунтовано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    НІ</w:t>
            </w:r>
          </w:p>
        </w:tc>
      </w:tr>
    </w:tbl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tbl>
      <w:tblPr>
        <w:tblW w:w="10382" w:type="dxa"/>
        <w:tblInd w:w="-2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"/>
        <w:gridCol w:w="2525"/>
        <w:gridCol w:w="3139"/>
        <w:gridCol w:w="3984"/>
      </w:tblGrid>
      <w:tr w:rsidR="0020155A">
        <w:trPr>
          <w:trHeight w:hRule="exact" w:val="485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rStyle w:val="24"/>
                <w:sz w:val="24"/>
                <w:szCs w:val="24"/>
              </w:rPr>
              <w:t>VII.</w:t>
            </w:r>
          </w:p>
        </w:tc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0155A" w:rsidRDefault="00E5495B">
            <w:pPr>
              <w:pStyle w:val="2"/>
              <w:shd w:val="clear" w:color="auto" w:fill="auto"/>
              <w:spacing w:after="60" w:line="22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Експерт вважає, що колектив здатен виконати </w:t>
            </w:r>
            <w:proofErr w:type="spellStart"/>
            <w:r>
              <w:rPr>
                <w:sz w:val="24"/>
                <w:szCs w:val="24"/>
              </w:rPr>
              <w:t>проєкт</w:t>
            </w:r>
            <w:proofErr w:type="spellEnd"/>
            <w:r>
              <w:rPr>
                <w:sz w:val="24"/>
                <w:szCs w:val="24"/>
              </w:rPr>
              <w:t xml:space="preserve"> на належному рівні</w:t>
            </w:r>
          </w:p>
          <w:p w:rsidR="0020155A" w:rsidRDefault="00E5495B">
            <w:pPr>
              <w:pStyle w:val="2"/>
              <w:shd w:val="clear" w:color="auto" w:fill="auto"/>
              <w:spacing w:before="60" w:line="170" w:lineRule="exact"/>
              <w:jc w:val="left"/>
              <w:rPr>
                <w:sz w:val="24"/>
                <w:szCs w:val="24"/>
              </w:rPr>
            </w:pPr>
            <w:r>
              <w:rPr>
                <w:rStyle w:val="285pt"/>
                <w:sz w:val="24"/>
                <w:szCs w:val="24"/>
              </w:rPr>
              <w:t>(зайве викреслити)</w:t>
            </w:r>
          </w:p>
        </w:tc>
      </w:tr>
      <w:tr w:rsidR="0020155A">
        <w:trPr>
          <w:trHeight w:hRule="exact" w:val="302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НІ</w:t>
            </w:r>
          </w:p>
        </w:tc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155A" w:rsidRDefault="00E5495B">
            <w:pPr>
              <w:pStyle w:val="2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ПЕВНИХ УМОВ</w:t>
            </w:r>
          </w:p>
        </w:tc>
      </w:tr>
    </w:tbl>
    <w:p w:rsidR="0020155A" w:rsidRDefault="0020155A">
      <w:pPr>
        <w:pStyle w:val="a3"/>
        <w:widowControl w:val="0"/>
        <w:rPr>
          <w:rFonts w:ascii="Times New Roman" w:hAnsi="Times New Roman"/>
          <w:sz w:val="24"/>
          <w:szCs w:val="24"/>
        </w:rPr>
      </w:pPr>
    </w:p>
    <w:p w:rsidR="0020155A" w:rsidRDefault="00E549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Коментар експерта: </w:t>
      </w:r>
      <w:r>
        <w:rPr>
          <w:rFonts w:ascii="Times New Roman" w:hAnsi="Times New Roman"/>
          <w:b/>
          <w:sz w:val="24"/>
          <w:szCs w:val="24"/>
        </w:rPr>
        <w:t>(Коментар експерта обов’язковий. Висновок без коментаря недійсний)</w:t>
      </w:r>
    </w:p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20155A" w:rsidRDefault="002015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55A" w:rsidRDefault="00E5495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Експерт: 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</w:t>
      </w:r>
    </w:p>
    <w:p w:rsidR="0020155A" w:rsidRDefault="00E5495B">
      <w:pPr>
        <w:spacing w:after="0" w:line="240" w:lineRule="auto"/>
        <w:ind w:left="24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ПІБ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Підпис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Дата</w:t>
      </w:r>
    </w:p>
    <w:p w:rsidR="0020155A" w:rsidRDefault="002015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0155A" w:rsidRDefault="0020155A">
      <w:pPr>
        <w:rPr>
          <w:rFonts w:ascii="Times New Roman" w:hAnsi="Times New Roman"/>
          <w:sz w:val="24"/>
          <w:szCs w:val="24"/>
        </w:rPr>
      </w:pPr>
    </w:p>
    <w:p w:rsidR="0020155A" w:rsidRDefault="00E5495B">
      <w:pPr>
        <w:spacing w:after="0" w:line="240" w:lineRule="auto"/>
        <w:rPr>
          <w:rFonts w:ascii="Times" w:hAnsi="Times"/>
          <w:sz w:val="28"/>
        </w:rPr>
      </w:pPr>
      <w:proofErr w:type="spellStart"/>
      <w:r>
        <w:rPr>
          <w:rFonts w:ascii="Times" w:hAnsi="Times"/>
          <w:sz w:val="28"/>
        </w:rPr>
        <w:t>Т.в.о</w:t>
      </w:r>
      <w:proofErr w:type="spellEnd"/>
      <w:r>
        <w:rPr>
          <w:rFonts w:ascii="Times" w:hAnsi="Times"/>
          <w:sz w:val="28"/>
        </w:rPr>
        <w:t>. генерального директора</w:t>
      </w:r>
    </w:p>
    <w:p w:rsidR="0020155A" w:rsidRDefault="00E5495B">
      <w:pPr>
        <w:spacing w:after="0" w:line="240" w:lineRule="auto"/>
        <w:rPr>
          <w:rFonts w:ascii="Times" w:hAnsi="Times"/>
          <w:sz w:val="28"/>
        </w:rPr>
      </w:pPr>
      <w:r>
        <w:rPr>
          <w:rFonts w:ascii="Times" w:hAnsi="Times"/>
          <w:sz w:val="28"/>
        </w:rPr>
        <w:t>директорату науки та інновацій</w:t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</w:r>
      <w:r>
        <w:rPr>
          <w:rFonts w:ascii="Times" w:hAnsi="Times"/>
          <w:sz w:val="28"/>
        </w:rPr>
        <w:tab/>
        <w:t>Оксана КРУКЕВИЧ</w:t>
      </w:r>
    </w:p>
    <w:p w:rsidR="0020155A" w:rsidRDefault="0020155A">
      <w:pPr>
        <w:rPr>
          <w:rFonts w:ascii="Times New Roman" w:hAnsi="Times New Roman"/>
          <w:sz w:val="24"/>
          <w:szCs w:val="24"/>
        </w:rPr>
      </w:pPr>
    </w:p>
    <w:p w:rsidR="0020155A" w:rsidRDefault="0020155A">
      <w:pPr>
        <w:spacing w:after="200" w:line="240" w:lineRule="auto"/>
        <w:ind w:hanging="2"/>
        <w:rPr>
          <w:rFonts w:ascii="Times New Roman" w:hAnsi="Times New Roman"/>
          <w:sz w:val="24"/>
          <w:szCs w:val="24"/>
        </w:rPr>
      </w:pPr>
    </w:p>
    <w:sectPr w:rsidR="0020155A">
      <w:pgSz w:w="11906" w:h="16838"/>
      <w:pgMar w:top="709" w:right="850" w:bottom="568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D2868"/>
    <w:multiLevelType w:val="hybridMultilevel"/>
    <w:tmpl w:val="8D34868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47E3539"/>
    <w:multiLevelType w:val="hybridMultilevel"/>
    <w:tmpl w:val="5818F66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E24723"/>
    <w:multiLevelType w:val="hybridMultilevel"/>
    <w:tmpl w:val="F0D22B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F436B51"/>
    <w:multiLevelType w:val="multilevel"/>
    <w:tmpl w:val="D9F2CCA2"/>
    <w:lvl w:ilvl="0">
      <w:start w:val="1"/>
      <w:numFmt w:val="decimal"/>
      <w:lvlText w:val="%1.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34C46FC0"/>
    <w:multiLevelType w:val="hybridMultilevel"/>
    <w:tmpl w:val="FD9E5CEC"/>
    <w:lvl w:ilvl="0" w:tplc="1D689FEA">
      <w:start w:val="1"/>
      <w:numFmt w:val="bullet"/>
      <w:lvlText w:val="-"/>
      <w:lvlJc w:val="left"/>
      <w:pPr>
        <w:ind w:left="358" w:hanging="360"/>
      </w:pPr>
      <w:rPr>
        <w:rFonts w:ascii="Times New Roman" w:hAnsi="Times New Roman"/>
      </w:rPr>
    </w:lvl>
    <w:lvl w:ilvl="1" w:tplc="20000003">
      <w:start w:val="1"/>
      <w:numFmt w:val="bullet"/>
      <w:lvlText w:val="o"/>
      <w:lvlJc w:val="left"/>
      <w:pPr>
        <w:ind w:left="1078" w:hanging="360"/>
      </w:pPr>
      <w:rPr>
        <w:rFonts w:ascii="Courier New" w:hAnsi="Courier New"/>
      </w:rPr>
    </w:lvl>
    <w:lvl w:ilvl="2" w:tplc="20000005">
      <w:start w:val="1"/>
      <w:numFmt w:val="bullet"/>
      <w:lvlText w:val=""/>
      <w:lvlJc w:val="left"/>
      <w:pPr>
        <w:ind w:left="1798" w:hanging="360"/>
      </w:pPr>
      <w:rPr>
        <w:rFonts w:ascii="Wingdings" w:hAnsi="Wingdings"/>
      </w:rPr>
    </w:lvl>
    <w:lvl w:ilvl="3" w:tplc="20000001">
      <w:start w:val="1"/>
      <w:numFmt w:val="bullet"/>
      <w:lvlText w:val=""/>
      <w:lvlJc w:val="left"/>
      <w:pPr>
        <w:ind w:left="2518" w:hanging="360"/>
      </w:pPr>
      <w:rPr>
        <w:rFonts w:ascii="Symbol" w:hAnsi="Symbol"/>
      </w:rPr>
    </w:lvl>
    <w:lvl w:ilvl="4" w:tplc="20000003">
      <w:start w:val="1"/>
      <w:numFmt w:val="bullet"/>
      <w:lvlText w:val="o"/>
      <w:lvlJc w:val="left"/>
      <w:pPr>
        <w:ind w:left="3238" w:hanging="360"/>
      </w:pPr>
      <w:rPr>
        <w:rFonts w:ascii="Courier New" w:hAnsi="Courier New"/>
      </w:rPr>
    </w:lvl>
    <w:lvl w:ilvl="5" w:tplc="20000005">
      <w:start w:val="1"/>
      <w:numFmt w:val="bullet"/>
      <w:lvlText w:val=""/>
      <w:lvlJc w:val="left"/>
      <w:pPr>
        <w:ind w:left="3958" w:hanging="360"/>
      </w:pPr>
      <w:rPr>
        <w:rFonts w:ascii="Wingdings" w:hAnsi="Wingdings"/>
      </w:rPr>
    </w:lvl>
    <w:lvl w:ilvl="6" w:tplc="20000001">
      <w:start w:val="1"/>
      <w:numFmt w:val="bullet"/>
      <w:lvlText w:val=""/>
      <w:lvlJc w:val="left"/>
      <w:pPr>
        <w:ind w:left="4678" w:hanging="360"/>
      </w:pPr>
      <w:rPr>
        <w:rFonts w:ascii="Symbol" w:hAnsi="Symbol"/>
      </w:rPr>
    </w:lvl>
    <w:lvl w:ilvl="7" w:tplc="20000003">
      <w:start w:val="1"/>
      <w:numFmt w:val="bullet"/>
      <w:lvlText w:val="o"/>
      <w:lvlJc w:val="left"/>
      <w:pPr>
        <w:ind w:left="5398" w:hanging="360"/>
      </w:pPr>
      <w:rPr>
        <w:rFonts w:ascii="Courier New" w:hAnsi="Courier New"/>
      </w:rPr>
    </w:lvl>
    <w:lvl w:ilvl="8" w:tplc="20000005">
      <w:start w:val="1"/>
      <w:numFmt w:val="bullet"/>
      <w:lvlText w:val=""/>
      <w:lvlJc w:val="left"/>
      <w:pPr>
        <w:ind w:left="6118" w:hanging="360"/>
      </w:pPr>
      <w:rPr>
        <w:rFonts w:ascii="Wingdings" w:hAnsi="Wingdings"/>
      </w:rPr>
    </w:lvl>
  </w:abstractNum>
  <w:abstractNum w:abstractNumId="5" w15:restartNumberingAfterBreak="0">
    <w:nsid w:val="472355C9"/>
    <w:multiLevelType w:val="hybridMultilevel"/>
    <w:tmpl w:val="EE501F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D63821"/>
    <w:multiLevelType w:val="hybridMultilevel"/>
    <w:tmpl w:val="B086B65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50E80A60"/>
    <w:multiLevelType w:val="hybridMultilevel"/>
    <w:tmpl w:val="3C2E27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31A07"/>
    <w:multiLevelType w:val="multilevel"/>
    <w:tmpl w:val="C518AB5A"/>
    <w:lvl w:ilvl="0">
      <w:start w:val="1"/>
      <w:numFmt w:val="bullet"/>
      <w:lvlText w:val="•"/>
      <w:lvlJc w:val="left"/>
      <w:rPr>
        <w:rFonts w:ascii="Times New Roman" w:hAnsi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695E7A0A"/>
    <w:multiLevelType w:val="hybridMultilevel"/>
    <w:tmpl w:val="1FA42E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96756"/>
    <w:multiLevelType w:val="hybridMultilevel"/>
    <w:tmpl w:val="A386FC1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7844273D"/>
    <w:multiLevelType w:val="hybridMultilevel"/>
    <w:tmpl w:val="054EFD2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BEB32CE"/>
    <w:multiLevelType w:val="hybridMultilevel"/>
    <w:tmpl w:val="16647C00"/>
    <w:lvl w:ilvl="0" w:tplc="7B4C89F6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111690"/>
    <w:multiLevelType w:val="multilevel"/>
    <w:tmpl w:val="50A2EAA8"/>
    <w:lvl w:ilvl="0">
      <w:start w:val="1"/>
      <w:numFmt w:val="bullet"/>
      <w:lvlText w:val="•"/>
      <w:lvlJc w:val="left"/>
      <w:rPr>
        <w:rFonts w:ascii="Times New Roman" w:hAnsi="Times New Roman"/>
        <w:b/>
        <w:bCs/>
        <w:i w:val="0"/>
        <w:iCs w:val="0"/>
        <w:smallCaps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7"/>
  </w:num>
  <w:num w:numId="5">
    <w:abstractNumId w:val="1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5"/>
  </w:num>
  <w:num w:numId="12">
    <w:abstractNumId w:val="4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55A"/>
    <w:rsid w:val="0020155A"/>
    <w:rsid w:val="00E5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1E71D1-D533-47AF-A458-170F9FDE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Pr>
      <w:sz w:val="22"/>
      <w:lang w:val="uk-UA" w:eastAsia="en-US"/>
    </w:rPr>
  </w:style>
  <w:style w:type="paragraph" w:customStyle="1" w:styleId="1">
    <w:name w:val="Заголовок №1"/>
    <w:basedOn w:val="a"/>
    <w:link w:val="10"/>
    <w:pPr>
      <w:widowControl w:val="0"/>
      <w:shd w:val="clear" w:color="auto" w:fill="FFFFFF"/>
      <w:spacing w:after="240" w:line="240" w:lineRule="auto"/>
      <w:outlineLvl w:val="0"/>
    </w:pPr>
    <w:rPr>
      <w:rFonts w:ascii="Times New Roman" w:hAnsi="Times New Roman"/>
      <w:b/>
      <w:bCs/>
    </w:rPr>
  </w:style>
  <w:style w:type="paragraph" w:customStyle="1" w:styleId="3">
    <w:name w:val="Основной текст (3)"/>
    <w:basedOn w:val="a"/>
    <w:link w:val="30"/>
    <w:pPr>
      <w:widowControl w:val="0"/>
      <w:shd w:val="clear" w:color="auto" w:fill="FFFFFF"/>
      <w:spacing w:after="0" w:line="278" w:lineRule="exact"/>
      <w:jc w:val="center"/>
    </w:pPr>
    <w:rPr>
      <w:rFonts w:ascii="Times New Roman" w:hAnsi="Times New Roman"/>
      <w:b/>
      <w:bCs/>
    </w:rPr>
  </w:style>
  <w:style w:type="paragraph" w:customStyle="1" w:styleId="2">
    <w:name w:val="Основной текст (2)"/>
    <w:basedOn w:val="a"/>
    <w:link w:val="20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/>
    </w:rPr>
  </w:style>
  <w:style w:type="paragraph" w:customStyle="1" w:styleId="a4">
    <w:name w:val="Подпись к таблице"/>
    <w:basedOn w:val="a"/>
    <w:link w:val="a5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</w:rPr>
  </w:style>
  <w:style w:type="paragraph" w:customStyle="1" w:styleId="21">
    <w:name w:val="Подпись к таблице (2)"/>
    <w:basedOn w:val="a"/>
    <w:link w:val="22"/>
    <w:pPr>
      <w:widowControl w:val="0"/>
      <w:shd w:val="clear" w:color="auto" w:fill="FFFFFF"/>
      <w:spacing w:after="0" w:line="240" w:lineRule="auto"/>
    </w:pPr>
    <w:rPr>
      <w:rFonts w:ascii="Times New Roman" w:hAnsi="Times New Roman"/>
      <w:lang w:eastAsia="uk-UA"/>
    </w:rPr>
  </w:style>
  <w:style w:type="paragraph" w:customStyle="1" w:styleId="31">
    <w:name w:val="Подпись к таблице (3)"/>
    <w:basedOn w:val="a"/>
    <w:link w:val="32"/>
    <w:pPr>
      <w:widowControl w:val="0"/>
      <w:shd w:val="clear" w:color="auto" w:fill="FFFFFF"/>
      <w:spacing w:after="0" w:line="240" w:lineRule="auto"/>
    </w:pPr>
    <w:rPr>
      <w:rFonts w:ascii="Times New Roman" w:hAnsi="Times New Roman"/>
      <w:i/>
      <w:iCs/>
      <w:sz w:val="17"/>
      <w:szCs w:val="17"/>
      <w:lang w:eastAsia="uk-UA"/>
    </w:rPr>
  </w:style>
  <w:style w:type="paragraph" w:customStyle="1" w:styleId="4">
    <w:name w:val="Подпись к таблице (4)"/>
    <w:basedOn w:val="a"/>
    <w:link w:val="40"/>
    <w:pPr>
      <w:widowControl w:val="0"/>
      <w:shd w:val="clear" w:color="auto" w:fill="FFFFFF"/>
      <w:spacing w:after="0" w:line="240" w:lineRule="auto"/>
    </w:pPr>
    <w:rPr>
      <w:rFonts w:ascii="Times New Roman" w:hAnsi="Times New Roman"/>
      <w:b/>
      <w:bCs/>
      <w:i/>
      <w:iCs/>
      <w:lang w:eastAsia="uk-UA"/>
    </w:rPr>
  </w:style>
  <w:style w:type="paragraph" w:customStyle="1" w:styleId="Default">
    <w:name w:val="Default"/>
    <w:pPr>
      <w:suppressAutoHyphens/>
      <w:spacing w:line="1" w:lineRule="atLeast"/>
      <w:ind w:left="-1" w:hanging="1"/>
      <w:outlineLvl w:val="0"/>
    </w:pPr>
    <w:rPr>
      <w:rFonts w:ascii="Times New Roman" w:hAnsi="Times New Roman"/>
      <w:color w:val="000000"/>
      <w:position w:val="-1"/>
      <w:sz w:val="24"/>
      <w:szCs w:val="24"/>
      <w:lang w:val="uk-UA" w:eastAsia="uk-UA"/>
    </w:rPr>
  </w:style>
  <w:style w:type="paragraph" w:styleId="a6">
    <w:name w:val="List Paragraph"/>
    <w:basedOn w:val="a"/>
    <w:qFormat/>
    <w:pPr>
      <w:suppressAutoHyphens/>
      <w:spacing w:after="0" w:line="1" w:lineRule="atLeast"/>
      <w:ind w:left="720" w:hanging="1"/>
      <w:contextualSpacing/>
      <w:outlineLvl w:val="0"/>
    </w:pPr>
    <w:rPr>
      <w:rFonts w:ascii="Times New Roman" w:hAnsi="Times New Roman"/>
      <w:position w:val="-1"/>
      <w:sz w:val="24"/>
      <w:szCs w:val="24"/>
      <w:lang w:val="ru-RU" w:eastAsia="ru-RU"/>
    </w:rPr>
  </w:style>
  <w:style w:type="paragraph" w:styleId="a7">
    <w:name w:val="Balloon Text"/>
    <w:basedOn w:val="a"/>
    <w:link w:val="a8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customStyle="1" w:styleId="11">
    <w:name w:val="Звичайний1"/>
    <w:pPr>
      <w:spacing w:after="200" w:line="276" w:lineRule="auto"/>
    </w:pPr>
    <w:rPr>
      <w:sz w:val="22"/>
      <w:lang w:val="en-US" w:eastAsia="en-US"/>
    </w:rPr>
  </w:style>
  <w:style w:type="paragraph" w:customStyle="1" w:styleId="23">
    <w:name w:val="Звичайний2"/>
    <w:qFormat/>
    <w:pPr>
      <w:pBdr>
        <w:top w:val="nil"/>
        <w:left w:val="nil"/>
        <w:bottom w:val="nil"/>
        <w:right w:val="nil"/>
        <w:between w:val="nil"/>
      </w:pBdr>
    </w:pPr>
    <w:rPr>
      <w:rFonts w:ascii="Times New Roman" w:hAnsi="Times New Roman"/>
      <w:sz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66CC"/>
      <w:u w:val="single"/>
    </w:rPr>
  </w:style>
  <w:style w:type="character" w:customStyle="1" w:styleId="10">
    <w:name w:val="Заголовок №1_"/>
    <w:link w:val="1"/>
    <w:rPr>
      <w:rFonts w:ascii="Times New Roman" w:hAnsi="Times New Roman"/>
      <w:b/>
      <w:bCs/>
      <w:shd w:val="clear" w:color="auto" w:fill="FFFFFF"/>
    </w:rPr>
  </w:style>
  <w:style w:type="character" w:customStyle="1" w:styleId="30">
    <w:name w:val="Основной текст (3)_"/>
    <w:link w:val="3"/>
    <w:rPr>
      <w:rFonts w:ascii="Times New Roman" w:hAnsi="Times New Roman"/>
      <w:b/>
      <w:bCs/>
      <w:shd w:val="clear" w:color="auto" w:fill="FFFFFF"/>
    </w:rPr>
  </w:style>
  <w:style w:type="character" w:customStyle="1" w:styleId="20">
    <w:name w:val="Основной текст (2)_"/>
    <w:link w:val="2"/>
    <w:rPr>
      <w:rFonts w:ascii="Times New Roman" w:hAnsi="Times New Roman"/>
      <w:shd w:val="clear" w:color="auto" w:fill="FFFFFF"/>
    </w:rPr>
  </w:style>
  <w:style w:type="character" w:customStyle="1" w:styleId="a5">
    <w:name w:val="Подпись к таблице_"/>
    <w:link w:val="a4"/>
    <w:rPr>
      <w:rFonts w:ascii="Times New Roman" w:hAnsi="Times New Roman"/>
      <w:b/>
      <w:bCs/>
      <w:shd w:val="clear" w:color="auto" w:fill="FFFFFF"/>
    </w:rPr>
  </w:style>
  <w:style w:type="character" w:customStyle="1" w:styleId="24">
    <w:name w:val="Основной текст (2) + Полужирный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3">
    <w:name w:val="Основной текст (3) + Не полужирный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5pt1pt">
    <w:name w:val="Основной текст (2) + 5 pt;Полужирный;Интервал 1 pt"/>
    <w:rPr>
      <w:rFonts w:ascii="Times New Roman" w:hAnsi="Times New Roman"/>
      <w:b/>
      <w:bCs/>
      <w:i w:val="0"/>
      <w:iCs w:val="0"/>
      <w:smallCaps w:val="0"/>
      <w:color w:val="000000"/>
      <w:spacing w:val="20"/>
      <w:w w:val="100"/>
      <w:position w:val="0"/>
      <w:sz w:val="10"/>
      <w:szCs w:val="10"/>
      <w:u w:val="none"/>
      <w:shd w:val="clear" w:color="auto" w:fill="FFFFFF"/>
      <w:lang w:val="uk-UA" w:eastAsia="uk-UA" w:bidi="uk-UA"/>
    </w:rPr>
  </w:style>
  <w:style w:type="character" w:customStyle="1" w:styleId="27pt">
    <w:name w:val="Основной текст (2) + 7 pt"/>
    <w:rPr>
      <w:rFonts w:ascii="Times New Roman" w:hAnsi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uk-UA" w:eastAsia="uk-UA" w:bidi="uk-UA"/>
    </w:rPr>
  </w:style>
  <w:style w:type="character" w:customStyle="1" w:styleId="2Arial">
    <w:name w:val="Основной текст (2) + Arial"/>
    <w:rPr>
      <w:rFonts w:ascii="Arial" w:hAnsi="Arial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Cambria8pt">
    <w:name w:val="Основной текст (2) + Cambria;8 pt;Полужирный"/>
    <w:rPr>
      <w:rFonts w:ascii="Cambria" w:hAnsi="Cambria"/>
      <w:b/>
      <w:bCs/>
      <w:i w:val="0"/>
      <w:iCs w:val="0"/>
      <w:smallCaps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uk-UA" w:eastAsia="uk-UA" w:bidi="uk-UA"/>
    </w:rPr>
  </w:style>
  <w:style w:type="character" w:customStyle="1" w:styleId="212pt">
    <w:name w:val="Основной текст (2) + 12 pt"/>
    <w:rPr>
      <w:rFonts w:ascii="Times New Roman" w:hAnsi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8pt">
    <w:name w:val="Основной текст (2) + 8 pt;Полужирный"/>
    <w:rPr>
      <w:rFonts w:ascii="Times New Roman" w:hAnsi="Times New Roman"/>
      <w:b/>
      <w:bCs/>
      <w:i w:val="0"/>
      <w:iCs w:val="0"/>
      <w:smallCaps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uk-UA" w:eastAsia="uk-UA" w:bidi="uk-UA"/>
    </w:rPr>
  </w:style>
  <w:style w:type="character" w:customStyle="1" w:styleId="2Cambria12pt0pt">
    <w:name w:val="Основной текст (2) + Cambria;12 pt;Интервал 0 pt"/>
    <w:rPr>
      <w:rFonts w:ascii="Cambria" w:hAnsi="Cambria"/>
      <w:b w:val="0"/>
      <w:bCs w:val="0"/>
      <w:i w:val="0"/>
      <w:iCs w:val="0"/>
      <w:smallCaps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2">
    <w:name w:val="Подпись к таблице (2)_"/>
    <w:link w:val="21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32">
    <w:name w:val="Подпись к таблице (3)_"/>
    <w:link w:val="31"/>
    <w:rPr>
      <w:rFonts w:ascii="Times New Roman" w:hAnsi="Times New Roman"/>
      <w:i/>
      <w:iCs/>
      <w:sz w:val="17"/>
      <w:szCs w:val="17"/>
      <w:shd w:val="clear" w:color="auto" w:fill="FFFFFF"/>
    </w:rPr>
  </w:style>
  <w:style w:type="character" w:customStyle="1" w:styleId="285pt">
    <w:name w:val="Основной текст (2) + 8;5 pt;Курсив"/>
    <w:rPr>
      <w:rFonts w:ascii="Times New Roman" w:hAnsi="Times New Roman"/>
      <w:b w:val="0"/>
      <w:bCs w:val="0"/>
      <w:i/>
      <w:iCs/>
      <w:smallCaps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40">
    <w:name w:val="Подпись к таблице (4)_"/>
    <w:link w:val="4"/>
    <w:rPr>
      <w:rFonts w:ascii="Times New Roman" w:hAnsi="Times New Roman"/>
      <w:b/>
      <w:bCs/>
      <w:i/>
      <w:iCs/>
      <w:sz w:val="22"/>
      <w:szCs w:val="22"/>
      <w:shd w:val="clear" w:color="auto" w:fill="FFFFFF"/>
    </w:rPr>
  </w:style>
  <w:style w:type="character" w:customStyle="1" w:styleId="a8">
    <w:name w:val="Текст выноски Знак"/>
    <w:link w:val="a7"/>
    <w:semiHidden/>
    <w:rPr>
      <w:rFonts w:ascii="Segoe UI" w:hAnsi="Segoe UI"/>
      <w:sz w:val="18"/>
      <w:szCs w:val="18"/>
      <w:lang w:eastAsia="en-US"/>
    </w:rPr>
  </w:style>
  <w:style w:type="table" w:styleId="12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2BED4-2DD9-4E61-84D6-560246437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1515</Words>
  <Characters>8638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National University</Company>
  <LinksUpToDate>false</LinksUpToDate>
  <CharactersWithSpaces>10133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2021-09-22T09:17:00Z</cp:lastPrinted>
  <dcterms:created xsi:type="dcterms:W3CDTF">2022-11-23T19:43:00Z</dcterms:created>
  <dcterms:modified xsi:type="dcterms:W3CDTF">2022-11-23T19:43:00Z</dcterms:modified>
</cp:coreProperties>
</file>