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76" w:before="240" w:after="0" w:beforeAutospacing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3"/>
        <w:tblW w:w="9129" w:type="dxa"/>
        <w:tblInd w:w="0" w:type="dxa"/>
        <w:tblBorders>
          <w:top w:val="none" w:sz="0" w:space="0" w:shadow="0" w:frame="0" w:color="000000"/>
          <w:left w:val="none" w:sz="0" w:space="0" w:shadow="0" w:frame="0" w:color="000000"/>
          <w:bottom w:val="none" w:sz="0" w:space="0" w:shadow="0" w:frame="0" w:color="000000"/>
          <w:right w:val="none" w:sz="0" w:space="0" w:shadow="0" w:frame="0" w:color="000000"/>
          <w:insideH w:val="none" w:sz="0" w:space="0" w:shadow="0" w:frame="0" w:color="000000"/>
          <w:insideV w:val="none" w:sz="0" w:space="0" w:shadow="0" w:frame="0" w:color="000000"/>
        </w:tblBorders>
        <w:tblLayout w:type="fixed"/>
        <w:tblLook w:val="0600"/>
      </w:tblPr>
      <w:tblGrid/>
      <w:tr>
        <w:trPr>
          <w:trHeight w:hRule="atLeast" w:val="1410"/>
        </w:trPr>
        <w:tc>
          <w:tcPr>
            <w:tcW w:w="4427" w:type="dxa"/>
            <w:tcBorders>
              <w:top w:val="single" w:sz="4" w:space="0" w:shadow="0" w:frame="0" w:color="FFFFFF"/>
              <w:left w:val="single" w:sz="4" w:space="0" w:shadow="0" w:frame="0" w:color="FFFFFF"/>
              <w:bottom w:val="single" w:sz="4" w:space="0" w:shadow="0" w:frame="0" w:color="FFFFFF"/>
              <w:right w:val="single" w:sz="4" w:space="0" w:shadow="0" w:fram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76" w:before="16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textWrapping"/>
              <w:br w:type="textWrapping"/>
            </w:r>
          </w:p>
        </w:tc>
        <w:tc>
          <w:tcPr>
            <w:tcW w:w="4702" w:type="dxa"/>
            <w:tcBorders>
              <w:top w:val="single" w:sz="4" w:space="0" w:shadow="0" w:frame="0" w:color="FFFFFF"/>
              <w:left w:val="single" w:sz="4" w:space="0" w:shadow="0" w:frame="0" w:color="FFFFFF"/>
              <w:bottom w:val="single" w:sz="4" w:space="0" w:shadow="0" w:frame="0" w:color="FFFFFF"/>
              <w:right w:val="single" w:sz="4" w:space="0" w:shadow="0" w:fram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T4"/>
              <w:tblW w:w="5000" w:type="pct"/>
              <w:tblBorders>
                <w:top w:val="none" w:sz="0" w:space="0" w:shadow="0" w:frame="0" w:color="auto"/>
                <w:left w:val="none" w:sz="0" w:space="0" w:shadow="0" w:frame="0" w:color="auto"/>
                <w:bottom w:val="none" w:sz="0" w:space="0" w:shadow="0" w:frame="0" w:color="auto"/>
                <w:right w:val="none" w:sz="0" w:space="0" w:shadow="0" w:frame="0" w:color="auto"/>
                <w:insideH w:val="none" w:sz="0" w:space="0" w:shadow="0" w:frame="0" w:color="auto"/>
                <w:insideV w:val="none" w:sz="0" w:space="0" w:shadow="0" w:frame="0" w:color="auto"/>
              </w:tblBorders>
              <w:tblLayout w:type="fixed"/>
              <w:tblLook w:val="04A0"/>
            </w:tblPr>
            <w:tblGrid/>
            <w:tr>
              <w:trPr>
                <w:trHeight w:hRule="atLeast" w:val="245"/>
              </w:trPr>
              <w:tc>
                <w:tcPr>
                  <w:tcW w:w="5384" w:type="dxa"/>
                </w:tcPr>
                <w:p>
                  <w:pPr>
                    <w:pStyle w:val="P17"/>
                    <w:widowControl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ЗАТВЕРДЖЕНО</w:t>
                  </w:r>
                </w:p>
                <w:p>
                  <w:pPr>
                    <w:pStyle w:val="P17"/>
                    <w:widowControl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Наказ Міністерства освіти і науки України</w:t>
                  </w:r>
                </w:p>
                <w:p>
                  <w:pPr>
                    <w:pStyle w:val="P17"/>
                    <w:widowControl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 _________2024 року №_______</w:t>
                  </w:r>
                </w:p>
              </w:tc>
            </w:tr>
          </w:tbl>
          <w:p>
            <w:pPr>
              <w:spacing w:lineRule="auto" w:line="276" w:before="16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hRule="atLeast" w:val="1410"/>
        </w:trPr>
        <w:tc>
          <w:tcPr>
            <w:tcW w:w="4427" w:type="dxa"/>
            <w:tcBorders>
              <w:top w:val="single" w:sz="4" w:space="0" w:shadow="0" w:frame="0" w:color="FFFFFF"/>
              <w:left w:val="single" w:sz="4" w:space="0" w:shadow="0" w:frame="0" w:color="FFFFFF"/>
              <w:bottom w:val="single" w:sz="4" w:space="0" w:shadow="0" w:frame="0" w:color="FFFFFF"/>
              <w:right w:val="single" w:sz="4" w:space="0" w:shadow="0" w:fram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76" w:before="160" w:beforeAutospacing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textWrapping"/>
              <w:br w:type="textWrapping"/>
            </w:r>
          </w:p>
        </w:tc>
        <w:tc>
          <w:tcPr>
            <w:tcW w:w="4702" w:type="dxa"/>
            <w:tcBorders>
              <w:top w:val="single" w:sz="4" w:space="0" w:shadow="0" w:frame="0" w:color="FFFFFF"/>
              <w:left w:val="single" w:sz="4" w:space="0" w:shadow="0" w:frame="0" w:color="FFFFFF"/>
              <w:bottom w:val="single" w:sz="4" w:space="0" w:shadow="0" w:frame="0" w:color="FFFFFF"/>
              <w:right w:val="single" w:sz="4" w:space="0" w:shadow="0" w:fram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76" w:before="160" w:beforeAutospacing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Зареєстровано в Міністерстві</w:t>
              <w:br w:type="textWrapping"/>
              <w:t xml:space="preserve"> юстиції України</w:t>
              <w:br w:type="textWrapping"/>
              <w:t xml:space="preserve"> ___________ 2024 р. за № ________</w:t>
            </w:r>
          </w:p>
        </w:tc>
      </w:tr>
    </w:tbl>
    <w:p>
      <w:pPr>
        <w:spacing w:lineRule="auto" w:line="240" w:after="0" w:beforeAutospacing="0" w:afterAutospacing="0"/>
        <w:ind w:left="460" w:right="46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ПОЛОЖЕННЯ</w:t>
        <w:br w:type="textWrapping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1"/>
          <w:sz w:val="28"/>
          <w:szCs w:val="28"/>
        </w:rPr>
        <w:t>про експертні групи та експертну комісію з питань проведення державної атестації наукових установ та закладів вищої освіти в частині провадження ними наукової (науково-технічної) діяльності</w:t>
      </w:r>
    </w:p>
    <w:p>
      <w:pPr>
        <w:spacing w:lineRule="auto" w:line="240" w:after="0" w:beforeAutospacing="0" w:afterAutospacing="0"/>
        <w:ind w:left="460" w:right="460"/>
        <w:jc w:val="center"/>
        <w:rPr>
          <w:rFonts w:ascii="Times New Roman" w:hAnsi="Times New Roman"/>
          <w:b w:val="1"/>
          <w:sz w:val="28"/>
          <w:szCs w:val="28"/>
        </w:rPr>
      </w:pPr>
    </w:p>
    <w:p>
      <w:pPr>
        <w:spacing w:lineRule="auto" w:line="240" w:after="0" w:beforeAutospacing="0" w:afterAutospacing="0"/>
        <w:ind w:left="460" w:right="46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I. Загальні положення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Це Положення визначає основні завдання, організаційні засади й умови діяльності експертних груп та експертної комісії з питань проведення державної атестації наукових установ та  закладів вищої освіти в частині провадження ними наукової (науково-технічної) діяльності (далі - експертна комісія) відповідно до Методики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діяльності, затвердженої наказом Міністерства освіти і науки України від _________2024 року № ____ (далі - Методика).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Терміни у цьому Положенні вживаються у значеннях, наведених у Законах України </w:t>
      </w:r>
      <w:hyperlink xmlns:r="http://schemas.openxmlformats.org/officeDocument/2006/relationships" r:id="R2">
        <w:r>
          <w:rPr>
            <w:rFonts w:ascii="Times New Roman" w:hAnsi="Times New Roman"/>
            <w:sz w:val="28"/>
            <w:szCs w:val="28"/>
          </w:rPr>
          <w:t>«Про наукову і науково-технічну діяльність»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xmlns:r="http://schemas.openxmlformats.org/officeDocument/2006/relationships" r:id="R3">
        <w:r>
          <w:rPr>
            <w:rFonts w:ascii="Times New Roman" w:hAnsi="Times New Roman"/>
            <w:sz w:val="28"/>
            <w:szCs w:val="28"/>
          </w:rPr>
          <w:t>«Про вищу освіту»</w:t>
        </w:r>
      </w:hyperlink>
      <w:r>
        <w:rPr>
          <w:rFonts w:ascii="Times New Roman" w:hAnsi="Times New Roman"/>
          <w:sz w:val="28"/>
          <w:szCs w:val="28"/>
        </w:rPr>
        <w:t>, Порядку проведення державної атестації наукових установ та закладів вищої освіти в частині провадження такими закладами наукової (науково-технічної) діяльності, затвердженому постановою Кабінету Міністрів України від 19 липня 2017 року № 540 (далі - Порядок).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Дія цього Положення не поширюється на вищі військові навчальні заклади, заклади вищої освіти із специфічними умовами навчання в частині провадження такими закладами наукової (науково-технічної) діяльності, наукові установи, що належать до сфери управління Міноборони, Мін’юсту, Адміністрації Держприкордонслужби, МВС, ДСНС, Національної поліції, СБУ, Служби зовнішньої розвідки.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Експертні групи та експертна комісія у своїй діяльності керуються </w:t>
      </w:r>
      <w:hyperlink xmlns:r="http://schemas.openxmlformats.org/officeDocument/2006/relationships" r:id="R4">
        <w:r>
          <w:rPr>
            <w:rFonts w:ascii="Times New Roman" w:hAnsi="Times New Roman"/>
            <w:sz w:val="28"/>
            <w:szCs w:val="28"/>
          </w:rPr>
          <w:t>Конституцією України</w:t>
        </w:r>
      </w:hyperlink>
      <w:r>
        <w:rPr>
          <w:rFonts w:ascii="Times New Roman" w:hAnsi="Times New Roman"/>
          <w:sz w:val="28"/>
          <w:szCs w:val="28"/>
        </w:rPr>
        <w:t>, законами України, актами Президента України, Кабінету Міністрів України, нормативно-правовими актами МОН, цим Положенням.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Оцінювання наукової (науково-технічної) діяльності наукових установ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/</w:t>
      </w:r>
      <w:r>
        <w:rPr>
          <w:rFonts w:ascii="Times New Roman" w:hAnsi="Times New Roman"/>
          <w:sz w:val="28"/>
          <w:szCs w:val="28"/>
        </w:rPr>
        <w:t xml:space="preserve"> закладів вищої освіти в частині провадження такими закладами наукової (науково-технічної) діяльності має здійснюватися об’єктивно та неупереджено за ум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ови запобігання конфлікту інтересів та на таких засадах:</w:t>
      </w:r>
    </w:p>
    <w:p>
      <w:pPr>
        <w:shd w:val="clear" w:fill="FFFFFF"/>
        <w:spacing w:lineRule="auto" w:line="240" w:after="0" w:beforeAutospacing="0" w:afterAutospacing="0"/>
        <w:ind w:firstLine="4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об’єктивності аналізу ефективності діяльності наукової установи/закладу вищої освіти та її/його внеску у світову та вітчизняну науку, освіту, економіку, культуру, підвищення якості життя та безпеки людини;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відкритості та прозорості під час отримання та аналізу даних про діяльність наукової установи/закладу вищої освіти за науковим напрямом;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поєднання кількісного аналізу статистичних і наукометричних даних та якісного (експертного) оцінювання інформації про наукову установу/заклад вищої освіти та про її/його діяльність;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ґрунтовності аналізу кількісних характеристик діяльності наукової установи/закладу вищої освіти за науковим напрямом.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Наявність у членів експертних груп та членів експертної комісії потенційного конфлікту інтересів визначається відповідно до </w:t>
      </w:r>
      <w:hyperlink xmlns:r="http://schemas.openxmlformats.org/officeDocument/2006/relationships" r:id="R5">
        <w:r>
          <w:rPr>
            <w:rFonts w:ascii="Times New Roman" w:hAnsi="Times New Roman"/>
            <w:sz w:val="28"/>
            <w:szCs w:val="28"/>
          </w:rPr>
          <w:t>Закону України</w:t>
        </w:r>
      </w:hyperlink>
      <w:r>
        <w:rPr>
          <w:rFonts w:ascii="Times New Roman" w:hAnsi="Times New Roman"/>
          <w:sz w:val="28"/>
          <w:szCs w:val="28"/>
        </w:rPr>
        <w:t xml:space="preserve"> «Про запобігання корупції» та інших нормативно-правових актів у цій сфері.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цьому члену експертної групи під час здійснення функцій, пов’язаних з проведенням державної атестації наукової установи/закладу вищої освіти, рекомендується враховувати: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 працюють в науковій установі/закладі вищої освіти його близькі особи;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 є він членом діючої вченої (наукової, науково-технічної) ради наукової установи/закладу вищої освіти;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також протягом останніх п’яти років: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 працевлаштовувався він в науковій установі/закладі вищої освіти;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 був він науковим керівником одного з працівників наукової установи/закладу вищої освіти;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 є серед працівників наукової установи/закладу вищої освіти його науковий керівник;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 є у нього спільні наукові публікації з науковими працівниками наукової установи/закладу вищої освіти;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 мала місце участь у спільних наукових проектах. 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 разі наявності у представника експертної групи або експертної комісії реального або потенційного конфлікту інтересів щодо певної/певного наукової установи/закладу вищої освіти такий представник експертної групи або експертної комісії зобов’язаний повідомити про це на засіданні експертної групи або експертної комісії, після чого приймається рішення щодо його подальшої участі в оцінюванні такої/такого наукової установи/закладу вищої освіти.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Допускається дистанційна участь членів експертних груп та членів експертної комісії у засіданні експертних груп та експертної комісії з використанням сучасних засобів зв’язку.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left="460" w:right="46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II. Формування та організація роботи експертних груп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Експертні групи, персональний склад яких визначає і затверджує МОН, утворюються за відповідним науковим напрямом, визначеним з урахуванням галузей знань відповідно до Переліку наукових напрямів, за якими проводиться державна атестація наукових установ та закладів вищої освіти в частині провадження такими закладами наукової (науково-технічної) діяльності (додаток до Порядку).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Вимоги до потенційних експертів розробляє і затверджує МОН.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Для формування експертних груп МОН розміщує на власному офіційному веб-сайті інформацію про реєстрацію фахівців і вчених, яких згідно з вимогами до потенційних експертів може бути включено як кандидатів до складу експертних груп для проведення оцінювання ефективності наукової (науково-технічної) діяльності наукових установ та закладів вищої освіти в частині провадження такими закладами наукової (науково-технічної) діяльності.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МОН формує з переліку потенційних експертів експертні групи і визначає керівника кожної з них.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До складу експертних груп залучаються провідні вчені, які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можуть </w:t>
      </w:r>
      <w:r>
        <w:rPr>
          <w:rFonts w:ascii="Times New Roman" w:hAnsi="Times New Roman"/>
          <w:sz w:val="28"/>
          <w:szCs w:val="28"/>
        </w:rPr>
        <w:t>представля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ти</w:t>
      </w:r>
      <w:r>
        <w:rPr>
          <w:rFonts w:ascii="Times New Roman" w:hAnsi="Times New Roman"/>
          <w:sz w:val="28"/>
          <w:szCs w:val="28"/>
        </w:rPr>
        <w:t xml:space="preserve"> усі галузі знань відповідного наукового напряму, з урахуванням </w:t>
      </w:r>
      <w:hyperlink xmlns:r="http://schemas.openxmlformats.org/officeDocument/2006/relationships" r:id="R6" w:anchor="n54">
        <w:r>
          <w:rPr>
            <w:rFonts w:ascii="Times New Roman" w:hAnsi="Times New Roman"/>
            <w:sz w:val="28"/>
            <w:szCs w:val="28"/>
          </w:rPr>
          <w:t>пункту 11</w:t>
        </w:r>
      </w:hyperlink>
      <w:r>
        <w:rPr>
          <w:rFonts w:ascii="Times New Roman" w:hAnsi="Times New Roman"/>
          <w:sz w:val="28"/>
          <w:szCs w:val="28"/>
        </w:rPr>
        <w:t xml:space="preserve"> Порядку. З метою підвищення якості проведення експертного оцінювання ефективності діяльності наукової установи/закладу вищої освіти до складу експертних груп залучаються іноземні експерти, які мають кваліфікацію за відповідними науковими напрямами.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Секретарями експертних груп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, як правило,</w:t>
      </w:r>
      <w:r>
        <w:rPr>
          <w:rFonts w:ascii="Times New Roman" w:hAnsi="Times New Roman"/>
          <w:sz w:val="28"/>
          <w:szCs w:val="28"/>
        </w:rPr>
        <w:t xml:space="preserve"> призначаються працівники МОН.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Для оцінювання ефективності діяльності наукової установи/закладу вищої освіти та інформаційних матеріалів, що підпадають під вимоги </w:t>
      </w:r>
      <w:hyperlink xmlns:r="http://schemas.openxmlformats.org/officeDocument/2006/relationships" r:id="R7">
        <w:r>
          <w:rPr>
            <w:rFonts w:ascii="Times New Roman" w:hAnsi="Times New Roman"/>
            <w:sz w:val="28"/>
            <w:szCs w:val="28"/>
          </w:rPr>
          <w:t>Закону України</w:t>
        </w:r>
      </w:hyperlink>
      <w:r>
        <w:rPr>
          <w:rFonts w:ascii="Times New Roman" w:hAnsi="Times New Roman"/>
          <w:sz w:val="28"/>
          <w:szCs w:val="28"/>
        </w:rPr>
        <w:t xml:space="preserve"> «Про державну таємницю», до персонального складу експертної групи обирають фахівців, які мають допуск до державної таємниці відповідно до чинного законодавства.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Експертні групи протягом не більш як 45 календарних днів з дати подання науковою установою/закладом вищої освіти заявки та інформаційних матеріалів:</w:t>
      </w:r>
    </w:p>
    <w:p>
      <w:pPr>
        <w:spacing w:lineRule="atLeast" w:line="19" w:before="0" w:after="0" w:beforeAutospacing="0" w:afterAutospacing="0"/>
        <w:ind w:firstLine="460"/>
        <w:jc w:val="both"/>
        <w:rPr>
          <w:rFonts w:ascii="Times" w:hAnsi="Times"/>
          <w:smallCaps w:val="0"/>
          <w:sz w:val="28"/>
          <w:szCs w:val="22"/>
          <w:highlight w:val="white"/>
          <w:shd w:val="clear" w:color="auto" w:fill="00FFFF"/>
          <w:cs w:val="0"/>
          <w:spacing w:val="0"/>
          <w:w w:val="100"/>
          <w:position w:val="0"/>
          <w:snapToGrid w:val="1"/>
        </w:rPr>
      </w:pPr>
      <w:r>
        <w:rPr>
          <w:rFonts w:ascii="Times" w:hAnsi="Times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1) </w:t>
      </w:r>
      <w:r>
        <w:rPr>
          <w:rFonts w:ascii="Times" w:hAnsi="Times"/>
          <w:smallCaps w:val="0"/>
          <w:sz w:val="28"/>
          <w:szCs w:val="22"/>
          <w:highlight w:val="white"/>
          <w:cs w:val="0"/>
          <w:spacing w:val="0"/>
          <w:w w:val="100"/>
          <w:position w:val="0"/>
          <w:snapToGrid w:val="1"/>
        </w:rPr>
        <w:t>перевіряють достатність і достовірність наведеної в інформаційних матеріалах інформації, а також значення показників Пi, Рi та Фi. Якщо значення показників є</w:t>
      </w:r>
      <w:r>
        <w:rPr>
          <w:rFonts w:ascii="Times" w:hAnsi="Times"/>
          <w:smallCaps w:val="0"/>
          <w:sz w:val="28"/>
          <w:szCs w:val="22"/>
          <w:highlight w:val="white"/>
          <w:shd w:val="clear" w:color="auto" w:fill="00FFFF"/>
          <w:cs w:val="0"/>
          <w:spacing w:val="0"/>
          <w:w w:val="100"/>
          <w:position w:val="0"/>
          <w:snapToGrid w:val="1"/>
        </w:rPr>
        <w:t xml:space="preserve"> більшими (для  Рi та Фi)  або меншими (для Пi) </w:t>
      </w:r>
      <w:r>
        <w:rPr>
          <w:rFonts w:ascii="Times" w:hAnsi="Times"/>
          <w:smallCaps w:val="0"/>
          <w:sz w:val="28"/>
          <w:szCs w:val="22"/>
          <w:highlight w:val="white"/>
          <w:cs w:val="0"/>
          <w:spacing w:val="0"/>
          <w:w w:val="100"/>
          <w:position w:val="0"/>
          <w:snapToGrid w:val="1"/>
        </w:rPr>
        <w:t xml:space="preserve">більше ніж на 30 % </w:t>
      </w:r>
      <w:r>
        <w:rPr>
          <w:rFonts w:ascii="Times" w:hAnsi="Times"/>
          <w:smallCaps w:val="0"/>
          <w:sz w:val="28"/>
          <w:szCs w:val="22"/>
          <w:highlight w:val="white"/>
          <w:shd w:val="clear" w:color="auto" w:fill="00FFFF"/>
          <w:cs w:val="0"/>
          <w:spacing w:val="0"/>
          <w:w w:val="100"/>
          <w:position w:val="0"/>
          <w:snapToGrid w:val="1"/>
        </w:rPr>
        <w:t>від середнього арифметичного</w:t>
      </w:r>
      <w:r>
        <w:rPr>
          <w:rFonts w:ascii="Times" w:hAnsi="Times"/>
          <w:smallCaps w:val="0"/>
          <w:sz w:val="28"/>
          <w:szCs w:val="22"/>
          <w:highlight w:val="white"/>
          <w:cs w:val="0"/>
          <w:spacing w:val="0"/>
          <w:w w:val="100"/>
          <w:position w:val="0"/>
          <w:snapToGrid w:val="1"/>
        </w:rPr>
        <w:t xml:space="preserve"> значення за п’ятирічний період та у разі виявлення у наданих матеріалах невідповідностей ініціюють перед експертною комісією необхідність перевірки поданої інформації.  </w:t>
      </w:r>
      <w:r>
        <w:rPr>
          <w:rFonts w:ascii="Times" w:hAnsi="Times"/>
          <w:smallCaps w:val="0"/>
          <w:sz w:val="28"/>
          <w:szCs w:val="22"/>
          <w:highlight w:val="white"/>
          <w:shd w:val="clear" w:color="auto" w:fill="00FFFF"/>
          <w:cs w:val="0"/>
          <w:spacing w:val="0"/>
          <w:w w:val="100"/>
          <w:position w:val="0"/>
          <w:snapToGrid w:val="1"/>
        </w:rPr>
        <w:t>Виявлення таких відхилень може проходити в автоматичному режимі із застосуванням цифрових інструментів Національної електронної науково-інформаційної системи.</w:t>
      </w:r>
    </w:p>
    <w:p>
      <w:pPr>
        <w:spacing w:lineRule="auto" w:line="240" w:before="0" w:after="160" w:beforeAutospacing="0" w:afterAutospacing="0"/>
        <w:ind w:firstLine="460"/>
        <w:jc w:val="both"/>
        <w:rPr>
          <w:rFonts w:ascii="Times" w:hAnsi="Times"/>
          <w:smallCaps w:val="0"/>
          <w:sz w:val="28"/>
          <w:szCs w:val="22"/>
          <w:highlight w:val="white"/>
          <w:shd w:val="clear" w:color="auto" w:fill="00FFFF"/>
          <w:cs w:val="0"/>
          <w:spacing w:val="0"/>
          <w:w w:val="100"/>
          <w:position w:val="0"/>
          <w:snapToGrid w:val="1"/>
        </w:rPr>
      </w:pPr>
      <w:r>
        <w:rPr>
          <w:rFonts w:ascii="Times" w:hAnsi="Times"/>
          <w:smallCaps w:val="0"/>
          <w:sz w:val="28"/>
          <w:szCs w:val="22"/>
          <w:highlight w:val="white"/>
          <w:shd w:val="clear" w:color="auto" w:fill="00FFFF"/>
          <w:cs w:val="0"/>
          <w:spacing w:val="0"/>
          <w:w w:val="100"/>
          <w:position w:val="0"/>
          <w:snapToGrid w:val="1"/>
        </w:rPr>
        <w:t>2) перевіряють достовірність наведеної в інформаційних матеріалах інформації у випадку, якщо значення індикатора (Іi) перевищує медіану більше ніж на 50 %. Виявлення таких випадків може проходити в автоматичному режимі із застосуванням цифрових інструментів Національної електронної науково-інформаційної системи;</w:t>
      </w:r>
    </w:p>
    <w:p>
      <w:pPr>
        <w:spacing w:lineRule="auto" w:line="240" w:before="0" w:after="16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highlight w:val="white"/>
          <w:cs w:val="0"/>
          <w:spacing w:val="0"/>
          <w:w w:val="100"/>
          <w:position w:val="0"/>
          <w:snapToGrid w:val="1"/>
        </w:rPr>
        <w:t>3</w:t>
      </w:r>
      <w:r>
        <w:rPr>
          <w:rFonts w:ascii="Times New Roman" w:hAnsi="Times New Roman"/>
          <w:sz w:val="28"/>
          <w:szCs w:val="28"/>
          <w:highlight w:val="white"/>
        </w:rPr>
        <w:t xml:space="preserve">) аналізують представлені </w:t>
      </w:r>
      <w:r>
        <w:rPr>
          <w:rFonts w:ascii="Times New Roman" w:hAnsi="Times New Roman"/>
          <w:sz w:val="28"/>
          <w:szCs w:val="28"/>
        </w:rPr>
        <w:t>науковою установою/закладом вищої освіти відомості про її/його діяльність;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4</w:t>
      </w:r>
      <w:r>
        <w:rPr>
          <w:rFonts w:ascii="Times New Roman" w:hAnsi="Times New Roman"/>
          <w:sz w:val="28"/>
          <w:szCs w:val="28"/>
        </w:rPr>
        <w:t>) проводять експертне оцінювання опису впливів результатів діяльності наукової установи/закладу вищої освіти на розвиток науки, суспільства та економіки (далі - вплив);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5</w:t>
      </w:r>
      <w:r>
        <w:rPr>
          <w:rFonts w:ascii="Times New Roman" w:hAnsi="Times New Roman"/>
          <w:sz w:val="28"/>
          <w:szCs w:val="28"/>
        </w:rPr>
        <w:t>) подають до експертної комісії експертний висновок щодо результатів експертного оцінювання ефективності діяльності наукової установи/закладу вищої освіти (далі – експертний висновок), для його використання під час визначення атестаційної оцінки наукової установи/закладу вищої освіти.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 розгляду матеріалів експертними групами становить не більше ніж 25 робочих днів.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За кожним описом впливу експерт встановлює  достатність підтверджень впливу та визначає:</w:t>
      </w:r>
    </w:p>
    <w:p>
      <w:pPr>
        <w:spacing w:lineRule="auto" w:line="240" w:after="0" w:beforeAutospacing="0" w:afterAutospacing="0"/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експертні оцінки за масштаб та розмір впливу за шкалою від 1 до 5 балів (з урахуванням ролі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 xml:space="preserve"> наукової</w:t>
      </w:r>
      <w:r>
        <w:rPr>
          <w:rFonts w:ascii="Times New Roman" w:hAnsi="Times New Roman"/>
          <w:sz w:val="28"/>
          <w:szCs w:val="28"/>
        </w:rPr>
        <w:t xml:space="preserve"> установи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/закладу ви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щої освіти</w:t>
      </w:r>
      <w:r>
        <w:rPr>
          <w:rFonts w:ascii="Times New Roman" w:hAnsi="Times New Roman"/>
          <w:sz w:val="28"/>
          <w:szCs w:val="28"/>
        </w:rPr>
        <w:t>, що звітує, у досягненні впливу);</w:t>
      </w:r>
    </w:p>
    <w:p>
      <w:pPr>
        <w:spacing w:lineRule="auto" w:line="240" w:after="0" w:beforeAutospacing="0" w:afterAutospacing="0"/>
        <w:ind w:firstLine="37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загальну оцінку експерта за вплив за шкалою від 0 до 10 балів.</w:t>
      </w:r>
    </w:p>
    <w:p>
      <w:pPr>
        <w:spacing w:lineRule="auto" w:line="240" w:after="0" w:beforeAutospacing="0" w:afterAutospacing="0"/>
        <w:ind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На підставі вивчення наданих описів впливів експерт формує експертну оцінку наукової установи/закладу вищої освіти за науковим напрямом та вносить показники експертного оцінювання до Картки експертного оцінювання наукової установи/закладу вищої освіти згідно з додатком 6 до Методики.</w:t>
      </w:r>
    </w:p>
    <w:p>
      <w:pPr>
        <w:spacing w:lineRule="auto" w:line="240" w:after="0" w:beforeAutospacing="0" w:afterAutospacing="0"/>
        <w:ind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Оцінка експерта за вплив визначається як сума експертних оцінок за масштаб та розмір впливу, якщо підтвердження впливу достатні, або дорівнює 0 якщо підтвердження впливу не</w:t>
      </w:r>
      <w:r>
        <w:rPr>
          <w:rFonts w:ascii="Times New Roman" w:hAnsi="Times New Roman"/>
          <w:sz w:val="28"/>
          <w:szCs w:val="28"/>
        </w:rPr>
        <w:t>достатні.</w:t>
      </w:r>
    </w:p>
    <w:p>
      <w:pPr>
        <w:spacing w:lineRule="auto" w:line="240" w:after="0" w:beforeAutospacing="0" w:afterAutospacing="0"/>
        <w:ind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Підсумкова оцінка експерта для наукової установи/закладу вищої освіти за напрямом визначається як середнє арифметичне оцінок експерта за всі описані впливи, поділену на загальну кількість поданих  впливів.</w:t>
      </w:r>
    </w:p>
    <w:p>
      <w:pPr>
        <w:spacing w:lineRule="auto" w:line="240" w:after="0" w:beforeAutospacing="0" w:afterAutospacing="0"/>
        <w:ind w:firstLine="566"/>
        <w:jc w:val="both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Загальна оцінка експертної групи щодо наукової установи/закладу вищої освіти за напрямом визначається як середнє арифметичне підсумкових оцінок експертів відповідної експертної групи</w:t>
      </w:r>
      <w:r>
        <w:rPr>
          <w:rFonts w:ascii="Times New Roman" w:hAnsi="Times New Roman"/>
          <w:b w:val="1"/>
          <w:sz w:val="28"/>
          <w:szCs w:val="28"/>
        </w:rPr>
        <w:t>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Засідання експертної групи оформлюється протоколом, який веде секретар експертної групи.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Керівник експертної групи готує експертний висновок за формою, згідно з додатком 7 до Методики, який підписують голова експертної групи, а у разі відсутності голови - заступник голови та секретар.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Експертний висновок ухвалюється простою більшістю голосів членів експертної групи, після чого зміни до нього не вносяться. Член (члени) експертної групи може (можуть) викласти окрему думку в експертному висновку.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експертної групи є чинним, якщо на засіданні присутні не менше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половини</w:t>
      </w:r>
      <w:r>
        <w:rPr>
          <w:rFonts w:ascii="Times New Roman" w:hAnsi="Times New Roman"/>
          <w:sz w:val="28"/>
          <w:szCs w:val="28"/>
        </w:rPr>
        <w:t xml:space="preserve"> її членів. У разі рівного розподілу голосів вирішальним є голос головуючого на засіданні.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Керівник експертної групи подає експертний висновок щодо результатів експертного оцінювання ефективності діяльності наукової установи/закладу вищої освіти до експертної комісії для його використання під час визначення атестаційної оцінки наукової установи/закладу вищої освіти.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left="460" w:right="46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III. Формування та робота експертної комісії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визначення результату державної атестації та групи наукової установи/закладу вищої освіти створюється експертна комісія, яка є консультативно-дорадчим органом, що утворюється при МОН для визначення відповідно до Порядку та Методики атестаційних оцінок наукових установ/закладів вищої освіти.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До складу експертної комісії входять голова (заступник Міністра, який за своїми функціональними обов’язками здійснює контроль за реалізацією державної політики у сферах наукової, науково-технічної діяльності), заступник голови, секретар, члени експертної комісії - представники МОН, представники центральних органів виконавчої влади, до сфери управління яких належать заклади вищої освіти та наукові установи, Національної академії наук України, національних галузевих академій наук, Наукового комітету Національної ради з питань розвитку науки і технологій, закладів вищої освіти та наукових установ.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Секретарем експертної комісії визначають представника (одного з представників) МОН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Експертна комісія: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визначає персональний кількісний склад експертних груп за відповідними науковими напрямами, який затверджує МОН;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вирішує питання, пов’язані з потенційним конфліктом інтересів члена експертної комісії, члена експертної групи або 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щодо</w:t>
      </w:r>
      <w:r>
        <w:rPr>
          <w:rFonts w:ascii="Times New Roman" w:hAnsi="Times New Roman"/>
          <w:sz w:val="28"/>
          <w:szCs w:val="28"/>
        </w:rPr>
        <w:t xml:space="preserve"> відсторонення</w:t>
      </w:r>
      <w:r>
        <w:rPr>
          <w:rFonts w:ascii="Times New Roman" w:hAnsi="Times New Roman"/>
          <w:sz w:val="28"/>
          <w:szCs w:val="28"/>
        </w:rPr>
        <w:t xml:space="preserve"> члена експертної групи від участі в експертній групі;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аналізує експертний висновок, поданий експертною групою за результатами експертного оцінювання ефективності діяльності наукової установи/заклад</w:t>
      </w:r>
      <w:r>
        <w:rPr>
          <w:rFonts w:ascii="Times New Roman" w:hAnsi="Times New Roman"/>
          <w:smallCaps w:val="0"/>
          <w:sz w:val="28"/>
          <w:szCs w:val="22"/>
          <w:cs w:val="0"/>
          <w:spacing w:val="0"/>
          <w:w w:val="100"/>
          <w:position w:val="0"/>
          <w:snapToGrid w:val="1"/>
        </w:rPr>
        <w:t>у</w:t>
      </w:r>
      <w:r>
        <w:rPr>
          <w:rFonts w:ascii="Times New Roman" w:hAnsi="Times New Roman"/>
          <w:sz w:val="28"/>
          <w:szCs w:val="28"/>
        </w:rPr>
        <w:t xml:space="preserve"> вищої освіти;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на підставі класифікаційної та експертної оцінки та враховуючи коефіцієнт регіональної підтримки  визначає попередню атестаційну оцінку та  здійснює віднесення наукової установи/закладу вищої освіти до однієї з чотирьох груп;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готує висновок про результати державної атестації наукової установи/закладу вищої освіти, за формою, згідно з додатком 8 до Методики, та подає його МОН на затвердження в установленому законодавством порядку.</w:t>
      </w:r>
    </w:p>
    <w:p>
      <w:pPr>
        <w:shd w:val="clear" w:fill="FFFFFF"/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Засідання експертної комісії проводить її голова, у разі його відсутності - заступник голови. Рішення експертної комісії ухвалюється відкритим голосуванням простою більшістю голосів присутніх на засіданні членів експертної комісії.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разі потреби, викликаної бездіяльністю чи тривалою відсутністю окремих членів експертних груп, голова експертної комісії вносить пропозиції щодо внесення змін до складу експертних груп, які оформлюються протоколом.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Оновлений склад експертних груп затверджується наказом МОН.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Рішення експертної комісії є правомочним, якщо на засіданні присутні не менше двох третин її членів. У разі рівного розподілу голосів вирішальним є голос головуючого на засіданні експертної комісії.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Член експертної комісії не має права бути відсутнім на її засіданнях без поважної причини та делегувати свій голос іншій особі.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Періодичність засідань експертної комісії визначається за потреби. Інформацію щодо засідань експертної комісії забезпечує МОН на своєму офіційному веб-сайті.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 разі своєї незгоди з прийнятим експертною комісією рішенням член експертної комісії має право викласти у письмовому вигляді окрему думку, яка додається до протоколу засідання експертної комісії.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Протокол засідання експертної комісії веде секретар експертної комісії. Протокол засідання експертної комісії підписується усіма присутніми на засіданні членами експертної комісії та подається до МОН.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</w:p>
    <w:p>
      <w:pPr>
        <w:spacing w:lineRule="auto" w:line="240" w:after="0" w:beforeAutospacing="0" w:afterAutospacing="0"/>
        <w:ind w:left="460" w:right="460"/>
        <w:jc w:val="center"/>
        <w:rPr>
          <w:rFonts w:ascii="Times New Roman" w:hAnsi="Times New Roman"/>
          <w:b w:val="1"/>
          <w:sz w:val="28"/>
          <w:szCs w:val="28"/>
        </w:rPr>
      </w:pPr>
      <w:r>
        <w:rPr>
          <w:rFonts w:ascii="Times New Roman" w:hAnsi="Times New Roman"/>
          <w:b w:val="1"/>
          <w:sz w:val="28"/>
          <w:szCs w:val="28"/>
        </w:rPr>
        <w:t>IV. Забезпечення діяльності експертної комісії та експертних груп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Організацію поточної роботи експертної комісії та експертних груп здійснює уповноважений структурний підрозділ МОН, який: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реєструє заявки та інформаційні матеріали , подані науковими установами/закладами вищої освіті,  перевіряє правильність їх оформлення; повертає заявки та/або інформаційні матеріали науковій установі/закладу вищої освіти на доопрацювання із зазначенням причин повернення у разі, якщо заявку та/або інформаційні матеріали оформлено неналежно;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проводить обрахунок класифікаційної оцінки;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організовує подання інформаційних матеріалів експертним групам за відповідними науковими напрямами для проведення експертного оцінювання ефективності діяльності наукової установи\закладу вищої освіти;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забезпечує подання експертного висновку для розгляду експертною комісією;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здійснює інформаційне супроводження державної атестації на офіційному веб-сайті МОН.</w:t>
      </w:r>
    </w:p>
    <w:p>
      <w:pPr>
        <w:spacing w:lineRule="auto" w:line="240" w:after="0" w:beforeAutospacing="0" w:afterAutospacing="0"/>
        <w:ind w:firstLine="4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Протягом 10 робочих днів після отримання рішення експертної комісії результати державної атестації затверджуються наказом МОН, який протягом 3 робочих днів оприлюднюється на офіційному веб-сайті МОН.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T3"/>
        <w:tblW w:w="8865" w:type="dxa"/>
        <w:tblInd w:w="0" w:type="dxa"/>
        <w:tblLayout w:type="fixed"/>
        <w:tblLook w:val="0600"/>
      </w:tblPr>
      <w:tblGrid/>
      <w:tr>
        <w:trPr>
          <w:trHeight w:hRule="atLeast" w:val="1140"/>
        </w:trPr>
        <w:tc>
          <w:tcPr>
            <w:tcW w:w="37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76" w:before="300" w:beforeAutospacing="0" w:afterAutospacing="0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b w:val="1"/>
                <w:sz w:val="28"/>
                <w:szCs w:val="28"/>
              </w:rPr>
              <w:t>Генеральний директор директорату розвитку науки</w:t>
            </w:r>
          </w:p>
        </w:tc>
        <w:tc>
          <w:tcPr>
            <w:tcW w:w="51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lineRule="auto" w:line="276" w:before="300" w:after="0" w:beforeAutospacing="0" w:afterAutospacing="0"/>
              <w:jc w:val="right"/>
              <w:rPr>
                <w:rFonts w:ascii="Times New Roman" w:hAnsi="Times New Roman"/>
                <w:b w:val="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textWrapping"/>
              <w:t xml:space="preserve"> </w:t>
            </w:r>
            <w:r>
              <w:rPr>
                <w:rFonts w:ascii="Times New Roman" w:hAnsi="Times New Roman"/>
                <w:b w:val="1"/>
                <w:sz w:val="28"/>
                <w:szCs w:val="28"/>
              </w:rPr>
              <w:t>Г.Я. Мозолеви</w:t>
            </w:r>
            <w:r>
              <w:rPr>
                <w:rFonts w:ascii="Times New Roman" w:hAnsi="Times New Roman"/>
                <w:b w:val="1"/>
                <w:smallCaps w:val="0"/>
                <w:sz w:val="28"/>
                <w:szCs w:val="22"/>
                <w:cs w:val="0"/>
                <w:spacing w:val="0"/>
                <w:w w:val="100"/>
                <w:position w:val="0"/>
                <w:snapToGrid w:val="1"/>
              </w:rPr>
              <w:t>ч</w:t>
            </w:r>
          </w:p>
        </w:tc>
      </w:tr>
    </w:tbl>
    <w:p>
      <w:pPr>
        <w:spacing w:before="240" w:after="240" w:beforeAutospacing="0" w:afterAutospacing="0"/>
        <w:rPr>
          <w:rFonts w:ascii="Times New Roman" w:hAnsi="Times New Roman"/>
          <w:sz w:val="24"/>
          <w:szCs w:val="24"/>
        </w:rPr>
      </w:pPr>
    </w:p>
    <w:sectPr>
      <w:type w:val="nextPage"/>
      <w:pgSz w:w="11906" w:h="16838" w:code="0"/>
      <w:pgMar w:left="1701" w:right="567" w:top="1134" w:bottom="1702" w:header="709" w:footer="709" w:gutter="0"/>
      <w:pgNumType w:start="1" w:chapSep="period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uk-UA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pPr>
      <w:keepNext w:val="1"/>
      <w:keepLines w:val="1"/>
      <w:spacing w:before="480" w:after="120" w:beforeAutospacing="0" w:afterAutospacing="0"/>
      <w:outlineLvl w:val="0"/>
    </w:pPr>
    <w:rPr>
      <w:b w:val="1"/>
      <w:sz w:val="48"/>
      <w:szCs w:val="48"/>
    </w:rPr>
  </w:style>
  <w:style w:type="paragraph" w:styleId="P2">
    <w:name w:val="heading 2"/>
    <w:basedOn w:val="P0"/>
    <w:next w:val="P0"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rvps1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9">
    <w:name w:val="rvps6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0">
    <w:name w:val="rvps7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1">
    <w:name w:val="rvps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2">
    <w:name w:val="rvps4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3">
    <w:name w:val="rvps15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4">
    <w:name w:val="rvps12"/>
    <w:basedOn w:val="P0"/>
    <w:pPr>
      <w:spacing w:lineRule="auto" w:line="240" w:before="100" w:after="100" w:beforeAutospacing="1" w:afterAutospacing="1"/>
    </w:pPr>
    <w:rPr>
      <w:rFonts w:ascii="Times New Roman" w:hAnsi="Times New Roman"/>
      <w:sz w:val="24"/>
      <w:szCs w:val="24"/>
    </w:rPr>
  </w:style>
  <w:style w:type="paragraph" w:styleId="P15">
    <w:name w:val="List Paragraph"/>
    <w:basedOn w:val="P0"/>
    <w:qFormat/>
    <w:pPr>
      <w:ind w:left="720"/>
      <w:contextualSpacing w:val="1"/>
    </w:pPr>
    <w:rPr/>
  </w:style>
  <w:style w:type="paragraph" w:styleId="P16">
    <w:name w:val="Subtitle"/>
    <w:basedOn w:val="P0"/>
    <w:next w:val="P0"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paragraph" w:styleId="P17">
    <w:name w:val="No Spacing"/>
    <w:qFormat/>
    <w:pPr>
      <w:spacing w:lineRule="auto" w:line="240" w:after="0" w:beforeAutospacing="0" w:afterAutospacing="0"/>
    </w:pPr>
    <w:rPr>
      <w:lang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semiHidden/>
    <w:rPr>
      <w:color w:val="0000FF"/>
      <w:u w:val="single"/>
    </w:rPr>
  </w:style>
  <w:style w:type="character" w:styleId="C3">
    <w:name w:val="mr-auto"/>
    <w:basedOn w:val="C0"/>
    <w:rPr/>
  </w:style>
  <w:style w:type="character" w:styleId="C4">
    <w:name w:val="btn-group"/>
    <w:basedOn w:val="C0"/>
    <w:rPr/>
  </w:style>
  <w:style w:type="character" w:styleId="C5">
    <w:name w:val="d-none"/>
    <w:basedOn w:val="C0"/>
    <w:rPr/>
  </w:style>
  <w:style w:type="character" w:styleId="C6">
    <w:name w:val="HTML Keyboard"/>
    <w:basedOn w:val="C0"/>
    <w:semiHidden/>
    <w:rPr>
      <w:rFonts w:ascii="Courier New" w:hAnsi="Courier New"/>
      <w:sz w:val="20"/>
      <w:szCs w:val="20"/>
    </w:rPr>
  </w:style>
  <w:style w:type="character" w:styleId="C7">
    <w:name w:val="rvts9"/>
    <w:basedOn w:val="C0"/>
    <w:rPr/>
  </w:style>
  <w:style w:type="character" w:styleId="C8">
    <w:name w:val="rvts23"/>
    <w:basedOn w:val="C0"/>
    <w:rPr/>
  </w:style>
  <w:style w:type="character" w:styleId="C9">
    <w:name w:val="rvts15"/>
    <w:basedOn w:val="C0"/>
    <w:rPr/>
  </w:style>
  <w:style w:type="character" w:styleId="C10">
    <w:name w:val="rvts58"/>
    <w:basedOn w:val="C0"/>
    <w:rPr/>
  </w:style>
  <w:style w:type="character" w:styleId="C11">
    <w:name w:val="rvts44"/>
    <w:basedOn w:val="C0"/>
    <w:rPr/>
  </w:style>
  <w:style w:type="character" w:styleId="C12">
    <w:name w:val="rvts46"/>
    <w:basedOn w:val="C0"/>
    <w:rPr/>
  </w:style>
  <w:style w:type="character" w:styleId="C13">
    <w:name w:val="rvts82"/>
    <w:basedOn w:val="C0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3">
    <w:name w:val=""/>
    <w:basedOn w:val="T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rPr/>
    <w:tcPr/>
  </w:style>
  <w:style w:type="table" w:styleId="T4">
    <w:name w:val="Table Grid"/>
    <w:basedOn w:val="T0"/>
    <w:pPr>
      <w:spacing w:lineRule="auto" w:line="240" w:after="0" w:beforeAutospacing="0" w:afterAutospacing="0"/>
    </w:pPr>
    <w:rPr>
      <w:lang w:eastAsia="en-US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2" Type="http://schemas.openxmlformats.org/officeDocument/2006/relationships/hyperlink" Target="https://zakon.rada.gov.ua/laws/show/848-19" TargetMode="External" /><Relationship Id="R3" Type="http://schemas.openxmlformats.org/officeDocument/2006/relationships/hyperlink" Target="https://zakon.rada.gov.ua/laws/show/1556-18" TargetMode="External" /><Relationship Id="R4" Type="http://schemas.openxmlformats.org/officeDocument/2006/relationships/hyperlink" Target="https://zakon.rada.gov.ua/laws/show/254%D0%BA/96-%D0%B2%D1%80" TargetMode="External" /><Relationship Id="R5" Type="http://schemas.openxmlformats.org/officeDocument/2006/relationships/hyperlink" Target="https://zakon.rada.gov.ua/laws/show/1700-18" TargetMode="External" /><Relationship Id="R6" Type="http://schemas.openxmlformats.org/officeDocument/2006/relationships/hyperlink" Target="https://zakon.rada.gov.ua/laws/show/652-2018-%D0%BF" TargetMode="External" /><Relationship Id="R7" Type="http://schemas.openxmlformats.org/officeDocument/2006/relationships/hyperlink" Target="https://zakon.rada.gov.ua/laws/show/3855-12" TargetMode="Externa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H4pAZxoOOf1VZe/oZxXZtG0fHg==">CgMxLjA4AHIhMThLY3ZBcVYxZ2padkxjMjU0WjR3R3BEN3BqYURLZElQ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2024-03-21T12:54:00Z</dcterms:created>
  <cp:lastModifiedBy>erp_adm</cp:lastModifiedBy>
  <dcterms:modified xsi:type="dcterms:W3CDTF">2024-04-18T06:32:01Z</dcterms:modified>
  <cp:revision>6</cp:revision>
</cp:coreProperties>
</file>