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E1" w:rsidRDefault="00B61036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6120130" cy="18796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45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AE1" w:rsidRDefault="00B61036">
      <w:pPr>
        <w:shd w:val="clear" w:color="auto" w:fill="FFFFFF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державну атестацію наукових</w:t>
      </w:r>
    </w:p>
    <w:p w:rsidR="000D5AE1" w:rsidRDefault="00B61036">
      <w:pPr>
        <w:shd w:val="clear" w:color="auto" w:fill="FFFFFF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установ та закладів вищої освіти</w:t>
      </w:r>
    </w:p>
    <w:p w:rsidR="000D5AE1" w:rsidRDefault="00B61036">
      <w:pPr>
        <w:shd w:val="clear" w:color="auto" w:fill="FFFFFF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частині провадження ними</w:t>
      </w:r>
    </w:p>
    <w:p w:rsidR="000D5AE1" w:rsidRDefault="00B61036">
      <w:pPr>
        <w:shd w:val="clear" w:color="auto" w:fill="FFFFFF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наукової (науково-технічної) діяльності</w:t>
      </w:r>
    </w:p>
    <w:p w:rsidR="000D5AE1" w:rsidRDefault="00B61036">
      <w:pPr>
        <w:shd w:val="clear" w:color="auto" w:fill="FFFFFF"/>
        <w:spacing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D5AE1" w:rsidRDefault="00B61036">
      <w:pPr>
        <w:shd w:val="clear" w:color="auto" w:fill="FFFFFF"/>
        <w:spacing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hyperlink r:id="rId6" w:anchor="n22">
        <w:r>
          <w:rPr>
            <w:rFonts w:ascii="Times New Roman" w:hAnsi="Times New Roman"/>
            <w:sz w:val="28"/>
            <w:szCs w:val="28"/>
          </w:rPr>
          <w:t>пункту 5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876841" w:rsidRPr="00876841">
        <w:rPr>
          <w:rFonts w:ascii="Times New Roman" w:hAnsi="Times New Roman"/>
          <w:sz w:val="28"/>
          <w:szCs w:val="28"/>
        </w:rPr>
        <w:t>Порядку 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діяльності, затвердженого постановою Кабінету Міністрів Укр</w:t>
      </w:r>
      <w:r w:rsidR="00876841">
        <w:rPr>
          <w:rFonts w:ascii="Times New Roman" w:hAnsi="Times New Roman"/>
          <w:sz w:val="28"/>
          <w:szCs w:val="28"/>
        </w:rPr>
        <w:t>аїни від 19 липня 2017 р. № 540</w:t>
      </w:r>
      <w:r>
        <w:rPr>
          <w:rFonts w:ascii="Times New Roman" w:hAnsi="Times New Roman"/>
          <w:sz w:val="28"/>
          <w:szCs w:val="28"/>
        </w:rPr>
        <w:t>,</w:t>
      </w:r>
    </w:p>
    <w:p w:rsidR="000D5AE1" w:rsidRDefault="00B61036">
      <w:pPr>
        <w:shd w:val="clear" w:color="auto" w:fill="FFFFFF"/>
        <w:spacing w:before="240" w:after="24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НАКАЗУЮ:</w:t>
      </w:r>
    </w:p>
    <w:p w:rsidR="000D5AE1" w:rsidRDefault="00B61036">
      <w:pPr>
        <w:shd w:val="clear" w:color="auto" w:fill="FFFFFF"/>
        <w:spacing w:before="240"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Затвердити такі, що додаються: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Методику оцінювання ефективності наукової (науково-технічної) діяльності </w:t>
      </w:r>
      <w:r>
        <w:rPr>
          <w:rFonts w:ascii="Times New Roman" w:hAnsi="Times New Roman"/>
          <w:sz w:val="28"/>
          <w:szCs w:val="28"/>
        </w:rPr>
        <w:t>наукових установ та закладів вищої освіти в частині провадження такими закладами наукової (науково-технічної) діяльності;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ind w:firstLine="460"/>
        <w:rPr>
          <w:rFonts w:ascii="Times New Roman" w:hAnsi="Times New Roman"/>
          <w:sz w:val="28"/>
          <w:szCs w:val="28"/>
        </w:rPr>
      </w:pPr>
      <w:hyperlink r:id="rId7" w:anchor="n4">
        <w:r>
          <w:rPr>
            <w:rFonts w:ascii="Times New Roman" w:hAnsi="Times New Roman"/>
            <w:sz w:val="28"/>
            <w:szCs w:val="28"/>
          </w:rPr>
          <w:t>Положення про експертні групи та експертну комісію з питань пр</w:t>
        </w:r>
        <w:r>
          <w:rPr>
            <w:rFonts w:ascii="Times New Roman" w:hAnsi="Times New Roman"/>
            <w:sz w:val="28"/>
            <w:szCs w:val="28"/>
          </w:rPr>
          <w:t>оведення державної атестації наукових установ та закладів вищої освіти в частині провадження такими закладами наукової (науково-технічної) діяльності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Визнати такими, що втратили чинність: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8">
        <w:r>
          <w:rPr>
            <w:rFonts w:ascii="Times New Roman" w:hAnsi="Times New Roman"/>
            <w:sz w:val="28"/>
            <w:szCs w:val="28"/>
          </w:rPr>
          <w:t xml:space="preserve">наказ Міністерства освіти і науки України від </w:t>
        </w:r>
      </w:hyperlink>
      <w:r>
        <w:rPr>
          <w:rFonts w:ascii="Times New Roman" w:hAnsi="Times New Roman"/>
          <w:sz w:val="28"/>
          <w:szCs w:val="28"/>
        </w:rPr>
        <w:t>17 вересня 2018 року  № 1008 «Деякі питання державної атестації наукових установ», зареєстрований в Міністерстві юстиції України 28 грудня 2018 року за № 1504/32956;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9">
        <w:r>
          <w:rPr>
            <w:rFonts w:ascii="Times New Roman" w:hAnsi="Times New Roman"/>
            <w:sz w:val="28"/>
            <w:szCs w:val="28"/>
          </w:rPr>
          <w:t xml:space="preserve">наказ Міністерства освіти і науки України від </w:t>
        </w:r>
      </w:hyperlink>
      <w:r>
        <w:rPr>
          <w:rFonts w:ascii="Times New Roman" w:hAnsi="Times New Roman"/>
          <w:sz w:val="28"/>
          <w:szCs w:val="28"/>
        </w:rPr>
        <w:t xml:space="preserve">12 березня 2019 року  № 338 «Про державну атестацію закладів вищої освіти в частині провадження ними </w:t>
      </w:r>
      <w:r>
        <w:rPr>
          <w:rFonts w:ascii="Times New Roman" w:hAnsi="Times New Roman"/>
          <w:sz w:val="28"/>
          <w:szCs w:val="28"/>
        </w:rPr>
        <w:lastRenderedPageBreak/>
        <w:t>наукової (науково-технічної) діяльності», зареєстрований в Міністерстві юстиції України</w:t>
      </w:r>
      <w:r>
        <w:rPr>
          <w:rFonts w:ascii="Times New Roman" w:hAnsi="Times New Roman"/>
          <w:sz w:val="28"/>
          <w:szCs w:val="28"/>
        </w:rPr>
        <w:t xml:space="preserve"> 27 червня 2019 року за № 688/33659.</w:t>
      </w:r>
    </w:p>
    <w:p w:rsidR="000D5AE1" w:rsidRDefault="00B61036">
      <w:pPr>
        <w:shd w:val="clear" w:color="auto" w:fill="FFFFFF"/>
        <w:spacing w:before="240"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Директорату розвитку науки (</w:t>
      </w:r>
      <w:proofErr w:type="spellStart"/>
      <w:r>
        <w:rPr>
          <w:rFonts w:ascii="Times New Roman" w:hAnsi="Times New Roman"/>
          <w:sz w:val="28"/>
          <w:szCs w:val="28"/>
        </w:rPr>
        <w:t>Мозолевич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Г.Я.) в установленому порядку забезпечити:</w:t>
      </w:r>
    </w:p>
    <w:p w:rsidR="000D5AE1" w:rsidRDefault="00B61036">
      <w:pPr>
        <w:shd w:val="clear" w:color="auto" w:fill="FFFFFF"/>
        <w:spacing w:before="240"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0D5AE1" w:rsidRDefault="00B61036">
      <w:pPr>
        <w:shd w:val="clear" w:color="auto" w:fill="FFFFFF"/>
        <w:spacing w:before="240"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оприлюднення цього наказу.</w:t>
      </w:r>
    </w:p>
    <w:p w:rsidR="000D5AE1" w:rsidRDefault="00B61036">
      <w:pPr>
        <w:shd w:val="clear" w:color="auto" w:fill="FFFFFF"/>
        <w:spacing w:before="240"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Цей наказ набирає чинності з</w:t>
      </w:r>
      <w:r>
        <w:rPr>
          <w:rFonts w:ascii="Times New Roman" w:hAnsi="Times New Roman"/>
          <w:sz w:val="28"/>
          <w:szCs w:val="28"/>
        </w:rPr>
        <w:t xml:space="preserve"> дня його офіційного опублікування.</w:t>
      </w:r>
    </w:p>
    <w:p w:rsidR="000D5AE1" w:rsidRDefault="00B61036">
      <w:pPr>
        <w:shd w:val="clear" w:color="auto" w:fill="FFFFFF"/>
        <w:spacing w:before="240" w:after="16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виконанням цього наказу покласти на заступника Міністра </w:t>
      </w:r>
      <w:proofErr w:type="spellStart"/>
      <w:r>
        <w:rPr>
          <w:rFonts w:ascii="Times New Roman" w:hAnsi="Times New Roman"/>
          <w:sz w:val="28"/>
          <w:szCs w:val="28"/>
        </w:rPr>
        <w:t>Курбатова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 І.</w:t>
      </w: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B61036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p w:rsidR="000D5AE1" w:rsidRDefault="000D5AE1">
      <w:pPr>
        <w:shd w:val="clear" w:color="auto" w:fill="FFFFFF"/>
        <w:spacing w:before="240" w:after="240"/>
        <w:ind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5"/>
      </w:tblGrid>
      <w:tr w:rsidR="000D5AE1">
        <w:trPr>
          <w:trHeight w:val="245"/>
        </w:trPr>
        <w:tc>
          <w:tcPr>
            <w:tcW w:w="4253" w:type="dxa"/>
          </w:tcPr>
          <w:p w:rsidR="000D5AE1" w:rsidRDefault="000D5AE1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:rsidR="000D5AE1" w:rsidRDefault="00B61036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0D5AE1" w:rsidRDefault="00B61036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Наказ Міністерства освіти і науки України</w:t>
            </w:r>
          </w:p>
          <w:p w:rsidR="000D5AE1" w:rsidRDefault="00B61036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 _________2024 року №_______</w:t>
            </w:r>
          </w:p>
        </w:tc>
      </w:tr>
    </w:tbl>
    <w:p w:rsidR="000D5AE1" w:rsidRDefault="000D5AE1">
      <w:pPr>
        <w:shd w:val="clear" w:color="auto" w:fill="FFFFFF"/>
        <w:spacing w:before="240"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D5AE1" w:rsidRDefault="00B61036">
      <w:pPr>
        <w:shd w:val="clear" w:color="auto" w:fill="FFFFFF"/>
        <w:spacing w:before="240" w:after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</w:t>
      </w:r>
      <w:r>
        <w:rPr>
          <w:rFonts w:ascii="Times New Roman" w:hAnsi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оцінювання </w:t>
      </w:r>
      <w:r>
        <w:rPr>
          <w:rFonts w:ascii="Times New Roman" w:hAnsi="Times New Roman"/>
          <w:b/>
          <w:sz w:val="28"/>
          <w:szCs w:val="28"/>
        </w:rPr>
        <w:t>ефективності наукової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</w:t>
      </w:r>
    </w:p>
    <w:p w:rsidR="000D5AE1" w:rsidRDefault="00B61036">
      <w:pPr>
        <w:shd w:val="clear" w:color="auto" w:fill="FFFFFF"/>
        <w:spacing w:before="160" w:after="160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Загальні положення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Ця Методика застосовується під час проведення державної а</w:t>
      </w:r>
      <w:r>
        <w:rPr>
          <w:rFonts w:ascii="Times New Roman" w:hAnsi="Times New Roman"/>
          <w:sz w:val="28"/>
          <w:szCs w:val="28"/>
        </w:rPr>
        <w:t>тестації наукових (науково-дослідних, науково-технологічних, науково-технічних, науково-практичних) установ, а також закладів вищої освіти  в частині провадження такими закладами наукової (науково-технічної) діяльності (далі - наукові установи/заклади вищо</w:t>
      </w:r>
      <w:r>
        <w:rPr>
          <w:rFonts w:ascii="Times New Roman" w:hAnsi="Times New Roman"/>
          <w:sz w:val="28"/>
          <w:szCs w:val="28"/>
        </w:rPr>
        <w:t>ї освіти) з метою визначення ефективності діяльності таких установ/закладів.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 цієї Методики не поширюється на вищі військові навчальні заклади, заклади вищої освіти із специфічними умовами навчання в частині провадження такими закладами наукової (науков</w:t>
      </w:r>
      <w:r>
        <w:rPr>
          <w:rFonts w:ascii="Times New Roman" w:hAnsi="Times New Roman"/>
          <w:sz w:val="28"/>
          <w:szCs w:val="28"/>
        </w:rPr>
        <w:t xml:space="preserve">о-технічної) діяльності, наукові установи, що належать до сфери управління Міноборони, Мін’юсту,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Держприкордонслужби</w:t>
      </w:r>
      <w:proofErr w:type="spellEnd"/>
      <w:r>
        <w:rPr>
          <w:rFonts w:ascii="Times New Roman" w:hAnsi="Times New Roman"/>
          <w:sz w:val="28"/>
          <w:szCs w:val="28"/>
        </w:rPr>
        <w:t>, МВС, ДСНС, Національної поліції, СБУ, Служби зовнішньої розвідки.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Терміни, що використовуються у цій Методиці, вживаються</w:t>
      </w:r>
      <w:r>
        <w:rPr>
          <w:rFonts w:ascii="Times New Roman" w:hAnsi="Times New Roman"/>
          <w:sz w:val="28"/>
          <w:szCs w:val="28"/>
        </w:rPr>
        <w:t xml:space="preserve"> у значеннях, наведених у Законах України </w:t>
      </w:r>
      <w:hyperlink r:id="rId10">
        <w:r>
          <w:rPr>
            <w:rFonts w:ascii="Times New Roman" w:hAnsi="Times New Roman"/>
            <w:sz w:val="28"/>
            <w:szCs w:val="28"/>
          </w:rPr>
          <w:t>«Про наукову і науково-технічну діяльність»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1">
        <w:r>
          <w:rPr>
            <w:rFonts w:ascii="Times New Roman" w:hAnsi="Times New Roman"/>
            <w:sz w:val="28"/>
            <w:szCs w:val="28"/>
          </w:rPr>
          <w:t>«Про вищу освіту»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2">
        <w:r>
          <w:rPr>
            <w:rFonts w:ascii="Times New Roman" w:hAnsi="Times New Roman"/>
            <w:sz w:val="28"/>
            <w:szCs w:val="28"/>
          </w:rPr>
          <w:t>«Про запобігання корупції»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3" w:anchor="n11">
        <w:r>
          <w:rPr>
            <w:rFonts w:ascii="Times New Roman" w:hAnsi="Times New Roman"/>
            <w:sz w:val="28"/>
            <w:szCs w:val="28"/>
          </w:rPr>
          <w:t xml:space="preserve">Порядку проведення державної атестації наукових установ та закладів вищої освіти в частині провадження такими </w:t>
        </w:r>
        <w:r>
          <w:rPr>
            <w:rFonts w:ascii="Times New Roman" w:hAnsi="Times New Roman"/>
            <w:sz w:val="28"/>
            <w:szCs w:val="28"/>
          </w:rPr>
          <w:t>закладами наукової (науково-технічної) діяльності</w:t>
        </w:r>
      </w:hyperlink>
      <w:r>
        <w:rPr>
          <w:rFonts w:ascii="Times New Roman" w:hAnsi="Times New Roman"/>
          <w:sz w:val="28"/>
          <w:szCs w:val="28"/>
        </w:rPr>
        <w:t>, затвердженому постановою Кабінету Міністрів України від 19 липня 2017 року № 540 (далі - Порядок).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Оцінювання ефективності наукової (науково-технічної) діяльності наукової установи/закладу вищої освіти </w:t>
      </w:r>
      <w:r>
        <w:rPr>
          <w:rFonts w:ascii="Times New Roman" w:hAnsi="Times New Roman"/>
          <w:sz w:val="28"/>
          <w:szCs w:val="28"/>
        </w:rPr>
        <w:t>за науковим напрямом проводиться за умови, що загальна кількість штатних працівників, які працюють за відповідним науковим напрямом на повну ставку за основним місцем роботи  є не меншою за 10 працівників.</w:t>
      </w:r>
    </w:p>
    <w:p w:rsidR="000D5AE1" w:rsidRDefault="00B61036">
      <w:pP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D5AE1" w:rsidRDefault="00B61036">
      <w:pPr>
        <w:shd w:val="clear" w:color="auto" w:fill="FFFFFF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Організація проведення державної атестації </w:t>
      </w:r>
      <w:r>
        <w:rPr>
          <w:rFonts w:ascii="Times New Roman" w:hAnsi="Times New Roman"/>
          <w:b/>
          <w:sz w:val="28"/>
          <w:szCs w:val="28"/>
        </w:rPr>
        <w:t>наукових установ/закладів вищої освіти</w:t>
      </w:r>
    </w:p>
    <w:p w:rsidR="000D5AE1" w:rsidRDefault="000D5AE1">
      <w:pPr>
        <w:shd w:val="clear" w:color="auto" w:fill="FFFFFF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проведення державної атестації наукова установа/заклад вищої освіти за підписом керівника подає до МОН в електронному вигляді: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заявку на проведення державної атестації, в якій зазначається розподіл структурних</w:t>
      </w:r>
      <w:r>
        <w:rPr>
          <w:rFonts w:ascii="Times New Roman" w:hAnsi="Times New Roman"/>
          <w:sz w:val="28"/>
          <w:szCs w:val="28"/>
        </w:rPr>
        <w:t xml:space="preserve"> підрозділів (кафедр) за науковими напрямами (далі - заявка) за формою згідно з</w:t>
      </w:r>
      <w:hyperlink r:id="rId14" w:anchor="n69">
        <w:r>
          <w:rPr>
            <w:rFonts w:ascii="Times New Roman" w:hAnsi="Times New Roman"/>
            <w:sz w:val="28"/>
            <w:szCs w:val="28"/>
          </w:rPr>
          <w:t xml:space="preserve"> </w:t>
        </w:r>
      </w:hyperlink>
      <w:hyperlink r:id="rId15" w:anchor="n69">
        <w:r>
          <w:rPr>
            <w:rFonts w:ascii="Times New Roman" w:hAnsi="Times New Roman"/>
            <w:sz w:val="28"/>
            <w:szCs w:val="28"/>
          </w:rPr>
          <w:t>додатком 1</w:t>
        </w:r>
      </w:hyperlink>
      <w:r>
        <w:rPr>
          <w:rFonts w:ascii="Times New Roman" w:hAnsi="Times New Roman"/>
          <w:sz w:val="28"/>
          <w:szCs w:val="28"/>
        </w:rPr>
        <w:t xml:space="preserve"> до цієї</w:t>
      </w:r>
      <w:r>
        <w:rPr>
          <w:rFonts w:ascii="Times New Roman" w:hAnsi="Times New Roman"/>
          <w:sz w:val="28"/>
          <w:szCs w:val="28"/>
        </w:rPr>
        <w:t xml:space="preserve"> Методики;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інформаційні матеріали для проведення державної атестації наукової установи/закладу вищої освіти (далі - інформаційні матеріали), що містять відомості про діяльність наукової установи/закладу вищої освіти відповідно до пункту 9 Порядку, а саме: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показників, за якими здійснюється оцінка результативності наукової (науково-технічної) діяльності наукової установи/закладу вищої освіти за науковим напрямом та потенціалу розвитку цього наукового напряму, згідно з додатком 2 до цієї Методики;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відо</w:t>
      </w:r>
      <w:r>
        <w:rPr>
          <w:rFonts w:ascii="Times New Roman" w:hAnsi="Times New Roman"/>
          <w:sz w:val="28"/>
          <w:szCs w:val="28"/>
        </w:rPr>
        <w:t>мості про наукову та науково-технічну діяльність наукової установи/закладу вищої освіти за науковим напрямом, згідно з додатком  3 до цієї Методики;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описи впливів результатів діяльності наукової установи/закладу вищої освіти на розвиток науки, суспільства </w:t>
      </w:r>
      <w:r>
        <w:rPr>
          <w:rFonts w:ascii="Times New Roman" w:hAnsi="Times New Roman"/>
          <w:sz w:val="28"/>
          <w:szCs w:val="28"/>
        </w:rPr>
        <w:t>та економіки (далі - опис впливу), згідно з додатком 4 до цієї Методики, українською та англійською мовами;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Дані про діяльність наукової установи/закладу вищої освіти за звітний рік подаються станом на 31 грудня звітного року.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Заклади вищої освіти подають заявку та інформаційні матеріали за кожним науковим напрямом окремо. 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Наукова установа/заклад вищої освіти зобов’язані подати один опис впливу та додатково по одному опису впливу за кожних 15 штатних наукових працівників та/</w:t>
      </w:r>
      <w:r>
        <w:rPr>
          <w:rFonts w:ascii="Times New Roman" w:hAnsi="Times New Roman"/>
          <w:sz w:val="28"/>
          <w:szCs w:val="28"/>
        </w:rPr>
        <w:t>або 45 штатних науково-педагогічних працівників за науковим напрямом.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Наукова установа/заклад вищої освіти може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  <w:szCs w:val="28"/>
        </w:rPr>
        <w:t>ирати для звітування такі види опису впливу: економічний; на безпеку та оборону; на здоров'я та якість життя; на розвиток передової науки, зок</w:t>
      </w:r>
      <w:r>
        <w:rPr>
          <w:rFonts w:ascii="Times New Roman" w:hAnsi="Times New Roman"/>
          <w:sz w:val="28"/>
          <w:szCs w:val="28"/>
        </w:rPr>
        <w:t>рема науково-</w:t>
      </w:r>
      <w:proofErr w:type="spellStart"/>
      <w:r>
        <w:rPr>
          <w:rFonts w:ascii="Times New Roman" w:hAnsi="Times New Roman"/>
          <w:sz w:val="28"/>
          <w:szCs w:val="28"/>
        </w:rPr>
        <w:t>популяризаційний</w:t>
      </w:r>
      <w:proofErr w:type="spellEnd"/>
      <w:r>
        <w:rPr>
          <w:rFonts w:ascii="Times New Roman" w:hAnsi="Times New Roman"/>
          <w:sz w:val="28"/>
          <w:szCs w:val="28"/>
        </w:rPr>
        <w:t>; культурний; освітній; на навколишнє середовище; на державну політику; соціальний; технологічний.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Кількість описів впливів за одним видом не може перевищувати 70 відсотків від загальної кількості описів впливів.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Кожен опис впл</w:t>
      </w:r>
      <w:r>
        <w:rPr>
          <w:rFonts w:ascii="Times New Roman" w:hAnsi="Times New Roman"/>
          <w:sz w:val="28"/>
          <w:szCs w:val="28"/>
        </w:rPr>
        <w:t>иву повинен містити чітке підтвердження впливу (акти виконаних робіт договорів, контрактів, ліцензійних угод; посилання на результати впливу (нормативні документи, стандарти тощо); публікація на офіційному сайті об'єкту впливу; публікації результатів соціо</w:t>
      </w:r>
      <w:r>
        <w:rPr>
          <w:rFonts w:ascii="Times New Roman" w:hAnsi="Times New Roman"/>
          <w:sz w:val="28"/>
          <w:szCs w:val="28"/>
        </w:rPr>
        <w:t>логічних досліджень впливу, публікації результатів впливу у всеукраїнських чи закордонних засобах масової інформації; публікації на офіційних сайтах центральних органів виконавчої влади, органів місцевого самоврядування; публікації на офіційних сайтах публ</w:t>
      </w:r>
      <w:r>
        <w:rPr>
          <w:rFonts w:ascii="Times New Roman" w:hAnsi="Times New Roman"/>
          <w:sz w:val="28"/>
          <w:szCs w:val="28"/>
        </w:rPr>
        <w:t>ічних органів іноземних держав, міжнародних організацій; підтвердження широкого використання результатів науковою спільнотою.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МОН: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забезпечує реєстрацію та перевіряє правильність оформлення поданих науковими установами/закладами вищої освіти заявок та і</w:t>
      </w:r>
      <w:r>
        <w:rPr>
          <w:rFonts w:ascii="Times New Roman" w:hAnsi="Times New Roman"/>
          <w:sz w:val="28"/>
          <w:szCs w:val="28"/>
        </w:rPr>
        <w:t>нформаційних матеріалів;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забезпечує проведення розрахунку кваліфікаційної оцінки наукової установи/закладу вищої освіти;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здійснює організацію подання інформаційних матеріалів експертним групам за відповідними науковими напрямами для проведення експертного </w:t>
      </w:r>
      <w:r>
        <w:rPr>
          <w:rFonts w:ascii="Times New Roman" w:hAnsi="Times New Roman"/>
          <w:sz w:val="28"/>
          <w:szCs w:val="28"/>
        </w:rPr>
        <w:t>оцінювання ефективності діяльності наукової установи\закладу вищої освіти;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готує та надає рекомендації щодо підготовки інформаційних матеріалів.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коли заявка та/або інформаційні матеріали наукової установи/закладу вищої освіти оформлені неналежним чи</w:t>
      </w:r>
      <w:r>
        <w:rPr>
          <w:rFonts w:ascii="Times New Roman" w:hAnsi="Times New Roman"/>
          <w:sz w:val="28"/>
          <w:szCs w:val="28"/>
        </w:rPr>
        <w:t>ном, МОН повертає їх науковій установі/закладу вищої освіти на доопрацювання у визначені терміни. МОН забезпечує організацію і проведення державної атестації наукових установ/закладів вищої освіти з використанням Національної електронної науково-інформацій</w:t>
      </w:r>
      <w:r>
        <w:rPr>
          <w:rFonts w:ascii="Times New Roman" w:hAnsi="Times New Roman"/>
          <w:sz w:val="28"/>
          <w:szCs w:val="28"/>
        </w:rPr>
        <w:t>ної системи.</w:t>
      </w:r>
    </w:p>
    <w:p w:rsidR="000D5AE1" w:rsidRDefault="000D5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</w:p>
    <w:p w:rsidR="000D5AE1" w:rsidRDefault="00B61036">
      <w:pPr>
        <w:shd w:val="clear" w:color="auto" w:fill="FFFFFF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Визначення класифікаційної оцінки наукової установи/закладу вищої освіти</w:t>
      </w:r>
    </w:p>
    <w:p w:rsidR="000D5AE1" w:rsidRDefault="000D5AE1">
      <w:pPr>
        <w:shd w:val="clear" w:color="auto" w:fill="FFFFFF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визначення класифікаційної оцінки наукової установи/закладу вищої освіти використовуються: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показники кадрового потенціалу (</w:t>
      </w:r>
      <w:proofErr w:type="spellStart"/>
      <w:r>
        <w:rPr>
          <w:rFonts w:ascii="Times New Roman" w:hAnsi="Times New Roman"/>
          <w:sz w:val="28"/>
          <w:szCs w:val="28"/>
        </w:rPr>
        <w:t>Пi</w:t>
      </w:r>
      <w:proofErr w:type="spellEnd"/>
      <w:r>
        <w:rPr>
          <w:rFonts w:ascii="Times New Roman" w:hAnsi="Times New Roman"/>
          <w:sz w:val="28"/>
          <w:szCs w:val="28"/>
        </w:rPr>
        <w:t xml:space="preserve">), показники результативності 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Рi</w:t>
      </w:r>
      <w:proofErr w:type="spellEnd"/>
      <w:r>
        <w:rPr>
          <w:rFonts w:ascii="Times New Roman" w:hAnsi="Times New Roman"/>
          <w:sz w:val="28"/>
          <w:szCs w:val="28"/>
        </w:rPr>
        <w:t>) та показники фінансового потенціалу (</w:t>
      </w:r>
      <w:proofErr w:type="spellStart"/>
      <w:r>
        <w:rPr>
          <w:rFonts w:ascii="Times New Roman" w:hAnsi="Times New Roman"/>
          <w:sz w:val="28"/>
          <w:szCs w:val="28"/>
        </w:rPr>
        <w:t>Фi</w:t>
      </w:r>
      <w:proofErr w:type="spellEnd"/>
      <w:r>
        <w:rPr>
          <w:rFonts w:ascii="Times New Roman" w:hAnsi="Times New Roman"/>
          <w:sz w:val="28"/>
          <w:szCs w:val="28"/>
        </w:rPr>
        <w:t xml:space="preserve">), зазначені у додатку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до цієї Методики, розраховані як середнє арифметичне значення за останні п’ять років;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питомі показники результативності (індикатори) (</w:t>
      </w:r>
      <w:proofErr w:type="spellStart"/>
      <w:r>
        <w:rPr>
          <w:rFonts w:ascii="Times New Roman" w:hAnsi="Times New Roman"/>
          <w:sz w:val="28"/>
          <w:szCs w:val="28"/>
        </w:rPr>
        <w:t>Іi</w:t>
      </w:r>
      <w:proofErr w:type="spellEnd"/>
      <w:r>
        <w:rPr>
          <w:rFonts w:ascii="Times New Roman" w:hAnsi="Times New Roman"/>
          <w:sz w:val="28"/>
          <w:szCs w:val="28"/>
        </w:rPr>
        <w:t>), за якими здійснюється розрахунок класифікаційної</w:t>
      </w:r>
      <w:r>
        <w:rPr>
          <w:rFonts w:ascii="Times New Roman" w:hAnsi="Times New Roman"/>
          <w:sz w:val="28"/>
          <w:szCs w:val="28"/>
        </w:rPr>
        <w:t xml:space="preserve"> оцінки, розраховані за формулами згідно з додатком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до цієї Методики;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вагові коефіцієнти (коефіцієнти пріоритетності) (</w:t>
      </w:r>
      <w:proofErr w:type="spellStart"/>
      <w:r>
        <w:rPr>
          <w:rFonts w:ascii="Times New Roman" w:hAnsi="Times New Roman"/>
          <w:sz w:val="28"/>
          <w:szCs w:val="28"/>
        </w:rPr>
        <w:t>Ki</w:t>
      </w:r>
      <w:proofErr w:type="spellEnd"/>
      <w:r>
        <w:rPr>
          <w:rFonts w:ascii="Times New Roman" w:hAnsi="Times New Roman"/>
          <w:sz w:val="28"/>
          <w:szCs w:val="28"/>
        </w:rPr>
        <w:t xml:space="preserve">) за якими визначається відносна значущість показника </w:t>
      </w:r>
      <w:proofErr w:type="spellStart"/>
      <w:r>
        <w:rPr>
          <w:rFonts w:ascii="Times New Roman" w:hAnsi="Times New Roman"/>
          <w:sz w:val="28"/>
          <w:szCs w:val="28"/>
        </w:rPr>
        <w:t>Іi</w:t>
      </w:r>
      <w:proofErr w:type="spellEnd"/>
      <w:r>
        <w:rPr>
          <w:rFonts w:ascii="Times New Roman" w:hAnsi="Times New Roman"/>
          <w:sz w:val="28"/>
          <w:szCs w:val="28"/>
        </w:rPr>
        <w:t>, значення яких наведено у додатку 5 до цієї Методики.</w:t>
      </w:r>
    </w:p>
    <w:p w:rsidR="000D5AE1" w:rsidRDefault="00B61036">
      <w:pPr>
        <w:spacing w:before="240" w:after="160" w:line="18" w:lineRule="atLeast"/>
        <w:ind w:firstLine="46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</w:t>
      </w:r>
      <w:r>
        <w:rPr>
          <w:rFonts w:ascii="Times New Roman" w:hAnsi="Times New Roman"/>
          <w:sz w:val="28"/>
          <w:highlight w:val="white"/>
        </w:rPr>
        <w:t>Під час розрахунків</w:t>
      </w:r>
      <w:r>
        <w:rPr>
          <w:rFonts w:ascii="Times New Roman" w:hAnsi="Times New Roman"/>
          <w:sz w:val="28"/>
          <w:highlight w:val="white"/>
        </w:rPr>
        <w:t xml:space="preserve"> показників </w:t>
      </w:r>
      <w:proofErr w:type="spellStart"/>
      <w:r>
        <w:rPr>
          <w:rFonts w:ascii="Times New Roman" w:hAnsi="Times New Roman"/>
          <w:sz w:val="28"/>
          <w:highlight w:val="white"/>
        </w:rPr>
        <w:t>Пi</w:t>
      </w:r>
      <w:proofErr w:type="spellEnd"/>
      <w:r>
        <w:rPr>
          <w:rFonts w:ascii="Times New Roman" w:hAnsi="Times New Roman"/>
          <w:sz w:val="28"/>
          <w:highlight w:val="white"/>
        </w:rPr>
        <w:t xml:space="preserve">, </w:t>
      </w:r>
      <w:proofErr w:type="spellStart"/>
      <w:r>
        <w:rPr>
          <w:rFonts w:ascii="Times New Roman" w:hAnsi="Times New Roman"/>
          <w:sz w:val="28"/>
          <w:highlight w:val="white"/>
        </w:rPr>
        <w:t>Рi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 та </w:t>
      </w:r>
      <w:proofErr w:type="spellStart"/>
      <w:r>
        <w:rPr>
          <w:rFonts w:ascii="Times New Roman" w:hAnsi="Times New Roman"/>
          <w:sz w:val="28"/>
          <w:highlight w:val="white"/>
        </w:rPr>
        <w:t>Фi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враховуються їх значення за кожен з п’яти років, </w:t>
      </w:r>
      <w:r>
        <w:rPr>
          <w:rFonts w:ascii="Times New Roman" w:hAnsi="Times New Roman"/>
          <w:sz w:val="28"/>
          <w:highlight w:val="white"/>
          <w:shd w:val="clear" w:color="auto" w:fill="00FFFF"/>
        </w:rPr>
        <w:t xml:space="preserve">якщо значення показників не є більшими (для  </w:t>
      </w:r>
      <w:proofErr w:type="spellStart"/>
      <w:r>
        <w:rPr>
          <w:rFonts w:ascii="Times New Roman" w:hAnsi="Times New Roman"/>
          <w:sz w:val="28"/>
          <w:highlight w:val="white"/>
          <w:shd w:val="clear" w:color="auto" w:fill="00FFFF"/>
        </w:rPr>
        <w:t>Рi</w:t>
      </w:r>
      <w:proofErr w:type="spellEnd"/>
      <w:r>
        <w:rPr>
          <w:rFonts w:ascii="Times New Roman" w:hAnsi="Times New Roman"/>
          <w:sz w:val="28"/>
          <w:highlight w:val="white"/>
          <w:shd w:val="clear" w:color="auto" w:fill="00FFFF"/>
        </w:rPr>
        <w:t xml:space="preserve"> та </w:t>
      </w:r>
      <w:proofErr w:type="spellStart"/>
      <w:r>
        <w:rPr>
          <w:rFonts w:ascii="Times New Roman" w:hAnsi="Times New Roman"/>
          <w:sz w:val="28"/>
          <w:highlight w:val="white"/>
          <w:shd w:val="clear" w:color="auto" w:fill="00FFFF"/>
        </w:rPr>
        <w:t>Фi</w:t>
      </w:r>
      <w:proofErr w:type="spellEnd"/>
      <w:r>
        <w:rPr>
          <w:rFonts w:ascii="Times New Roman" w:hAnsi="Times New Roman"/>
          <w:sz w:val="28"/>
          <w:highlight w:val="white"/>
          <w:shd w:val="clear" w:color="auto" w:fill="00FFFF"/>
        </w:rPr>
        <w:t xml:space="preserve">)  або не є меншими (для </w:t>
      </w:r>
      <w:proofErr w:type="spellStart"/>
      <w:r>
        <w:rPr>
          <w:rFonts w:ascii="Times New Roman" w:hAnsi="Times New Roman"/>
          <w:sz w:val="28"/>
          <w:highlight w:val="white"/>
          <w:shd w:val="clear" w:color="auto" w:fill="00FFFF"/>
        </w:rPr>
        <w:t>Пi</w:t>
      </w:r>
      <w:proofErr w:type="spellEnd"/>
      <w:r>
        <w:rPr>
          <w:rFonts w:ascii="Times New Roman" w:hAnsi="Times New Roman"/>
          <w:sz w:val="28"/>
          <w:highlight w:val="white"/>
          <w:shd w:val="clear" w:color="auto" w:fill="00FFFF"/>
        </w:rPr>
        <w:t>) більше ніж на 30 % від середнього арифметичного значення за п’ятирічний період.</w:t>
      </w:r>
      <w:r>
        <w:rPr>
          <w:rFonts w:ascii="Times New Roman" w:hAnsi="Times New Roman"/>
          <w:sz w:val="28"/>
          <w:highlight w:val="white"/>
        </w:rPr>
        <w:t xml:space="preserve"> Якщо значення показ</w:t>
      </w:r>
      <w:r>
        <w:rPr>
          <w:rFonts w:ascii="Times New Roman" w:hAnsi="Times New Roman"/>
          <w:sz w:val="28"/>
          <w:highlight w:val="white"/>
        </w:rPr>
        <w:t xml:space="preserve">ника </w:t>
      </w:r>
      <w:proofErr w:type="spellStart"/>
      <w:r>
        <w:rPr>
          <w:rFonts w:ascii="Times New Roman" w:hAnsi="Times New Roman"/>
          <w:sz w:val="28"/>
          <w:highlight w:val="white"/>
        </w:rPr>
        <w:t>Пi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та/або </w:t>
      </w:r>
      <w:proofErr w:type="spellStart"/>
      <w:r>
        <w:rPr>
          <w:rFonts w:ascii="Times New Roman" w:hAnsi="Times New Roman"/>
          <w:sz w:val="28"/>
          <w:highlight w:val="white"/>
        </w:rPr>
        <w:t>Рi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 та/або </w:t>
      </w:r>
      <w:proofErr w:type="spellStart"/>
      <w:r>
        <w:rPr>
          <w:rFonts w:ascii="Times New Roman" w:hAnsi="Times New Roman"/>
          <w:sz w:val="28"/>
          <w:highlight w:val="white"/>
        </w:rPr>
        <w:t>Фi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перевищує це значення в окремі звітні роки, тоді воно враховується у разі надання науковою установою/закладом вищої освіти офіційного підтвердження відповідних даних або прирівнюється до нуля у разі відсутності такого підтвердж</w:t>
      </w:r>
      <w:r>
        <w:rPr>
          <w:rFonts w:ascii="Times New Roman" w:hAnsi="Times New Roman"/>
          <w:sz w:val="28"/>
          <w:highlight w:val="white"/>
        </w:rPr>
        <w:t>ення, чи надання недостовірних даних.</w:t>
      </w:r>
    </w:p>
    <w:p w:rsidR="000D5AE1" w:rsidRDefault="000D5AE1">
      <w:pPr>
        <w:rPr>
          <w:rFonts w:ascii="Times New Roman" w:hAnsi="Times New Roman"/>
          <w:sz w:val="28"/>
          <w:szCs w:val="28"/>
        </w:rPr>
      </w:pPr>
    </w:p>
    <w:p w:rsidR="000D5AE1" w:rsidRDefault="000D5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Розраховані відповідно до абзацу третього пункту 1 цього розділу індикатори (</w:t>
      </w:r>
      <w:proofErr w:type="spellStart"/>
      <w:r>
        <w:rPr>
          <w:rFonts w:ascii="Times New Roman" w:hAnsi="Times New Roman"/>
          <w:sz w:val="28"/>
          <w:szCs w:val="28"/>
        </w:rPr>
        <w:t>Іi</w:t>
      </w:r>
      <w:proofErr w:type="spellEnd"/>
      <w:r>
        <w:rPr>
          <w:rFonts w:ascii="Times New Roman" w:hAnsi="Times New Roman"/>
          <w:sz w:val="28"/>
          <w:szCs w:val="28"/>
        </w:rPr>
        <w:t>) впорядковуються в порядку зростання, від найменшого числа до найбільшого. За отриманим рядом показників визначається медіана. Якщо з</w:t>
      </w:r>
      <w:r>
        <w:rPr>
          <w:rFonts w:ascii="Times New Roman" w:hAnsi="Times New Roman"/>
          <w:sz w:val="28"/>
          <w:szCs w:val="28"/>
        </w:rPr>
        <w:t>начення індикатора (</w:t>
      </w:r>
      <w:proofErr w:type="spellStart"/>
      <w:r>
        <w:rPr>
          <w:rFonts w:ascii="Times New Roman" w:hAnsi="Times New Roman"/>
          <w:sz w:val="28"/>
          <w:szCs w:val="28"/>
        </w:rPr>
        <w:t>Іi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перевищує медіану більше ніж на 50 %, воно враховується у разі надання науковою установою/закладом вищої освіти офіційного підтвердження даних, на підставі яких розраховувався відповідний індикатор. 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 класифікаційної оцінки </w:t>
      </w:r>
      <w:r>
        <w:rPr>
          <w:rFonts w:ascii="Times New Roman" w:hAnsi="Times New Roman"/>
          <w:sz w:val="28"/>
          <w:szCs w:val="28"/>
        </w:rPr>
        <w:t>враховуються лише індикатори (</w:t>
      </w:r>
      <w:proofErr w:type="spellStart"/>
      <w:r>
        <w:rPr>
          <w:rFonts w:ascii="Times New Roman" w:hAnsi="Times New Roman"/>
          <w:sz w:val="28"/>
          <w:szCs w:val="28"/>
        </w:rPr>
        <w:t>Іi</w:t>
      </w:r>
      <w:proofErr w:type="spellEnd"/>
      <w:r>
        <w:rPr>
          <w:rFonts w:ascii="Times New Roman" w:hAnsi="Times New Roman"/>
          <w:sz w:val="28"/>
          <w:szCs w:val="28"/>
        </w:rPr>
        <w:t>), що перевищують або дорівнюють медіані.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Загальна класифікаційна оцінка визначається як сума всіх коефіцієнтів індикаторів, зазначених у пункті 4.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Після обчислення класифікаційної оцінки інформаційні матеріали передаю</w:t>
      </w:r>
      <w:r>
        <w:rPr>
          <w:rFonts w:ascii="Times New Roman" w:hAnsi="Times New Roman"/>
          <w:sz w:val="28"/>
          <w:szCs w:val="28"/>
        </w:rPr>
        <w:t>ться експертним групам.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Під час проведення державної атестації новоутворених та реорганізованих наукових установ/закладів вищої освіти та наступних державних атестацій наукових установ/закладів вищої освіти, передбачених пунктами 18 та 18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Порядку,  для</w:t>
      </w:r>
      <w:r>
        <w:rPr>
          <w:rFonts w:ascii="Times New Roman" w:hAnsi="Times New Roman"/>
          <w:sz w:val="28"/>
          <w:szCs w:val="28"/>
        </w:rPr>
        <w:t xml:space="preserve"> визначення класифікаційної оцінки наукової установи/закладу вищої освіти враховується</w:t>
      </w:r>
      <w:r>
        <w:rPr>
          <w:rFonts w:ascii="Times New Roman" w:hAnsi="Times New Roman"/>
          <w:sz w:val="28"/>
        </w:rPr>
        <w:t xml:space="preserve"> значення</w:t>
      </w:r>
      <w:r>
        <w:rPr>
          <w:rFonts w:ascii="Times New Roman" w:hAnsi="Times New Roman"/>
          <w:sz w:val="28"/>
          <w:szCs w:val="28"/>
        </w:rPr>
        <w:t xml:space="preserve"> медіан результатів попередньої атестації, розрахована відповідно до цього розділу за відповідним науковим напрямом.</w:t>
      </w:r>
    </w:p>
    <w:p w:rsidR="000D5AE1" w:rsidRDefault="000D5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</w:p>
    <w:p w:rsidR="000D5AE1" w:rsidRDefault="00B61036">
      <w:pPr>
        <w:shd w:val="clear" w:color="auto" w:fill="FFFFFF"/>
        <w:ind w:firstLine="4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Експертне оцінювання ефективності </w:t>
      </w:r>
      <w:r>
        <w:rPr>
          <w:rFonts w:ascii="Times New Roman" w:hAnsi="Times New Roman"/>
          <w:b/>
          <w:sz w:val="28"/>
          <w:szCs w:val="28"/>
        </w:rPr>
        <w:t>діяльності наукової установи/закладу вищої освіти</w:t>
      </w:r>
    </w:p>
    <w:p w:rsidR="000D5AE1" w:rsidRDefault="000D5AE1">
      <w:pPr>
        <w:shd w:val="clear" w:color="auto" w:fill="FFFFFF"/>
        <w:ind w:firstLine="460"/>
        <w:jc w:val="center"/>
        <w:rPr>
          <w:rFonts w:ascii="Times New Roman" w:hAnsi="Times New Roman"/>
          <w:b/>
          <w:sz w:val="28"/>
          <w:szCs w:val="28"/>
        </w:rPr>
      </w:pP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Експертне оцінювання ефективності діяльності наукової установи/закладу вищої освіти проводить експертна група, утворена за відповідним напрямом наукової, науково-технічної, інноваційної діяльності (далі</w:t>
      </w:r>
      <w:r>
        <w:rPr>
          <w:rFonts w:ascii="Times New Roman" w:hAnsi="Times New Roman"/>
          <w:sz w:val="28"/>
          <w:szCs w:val="28"/>
        </w:rPr>
        <w:t xml:space="preserve"> - науковий напрям).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Необхідна кількість експертних груп, кількісний і персональний склад кожної експертної групи відповідно до Положення про експертні групи та експертну комісію з проведення державної атестації наукових установ/закладів вищої освіти, з</w:t>
      </w:r>
      <w:r>
        <w:rPr>
          <w:rFonts w:ascii="Times New Roman" w:hAnsi="Times New Roman"/>
          <w:sz w:val="28"/>
          <w:szCs w:val="28"/>
        </w:rPr>
        <w:t>атвердженого наказом Міністерства освіти і науки України _______________ №____, визначає експертна комісія з проведення державної атестації наукових установ (далі - експертна комісія) та за поданням експертної комісії затверджує МОН.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Експертна група діє</w:t>
      </w:r>
      <w:r>
        <w:rPr>
          <w:rFonts w:ascii="Times New Roman" w:hAnsi="Times New Roman"/>
          <w:sz w:val="28"/>
          <w:szCs w:val="28"/>
        </w:rPr>
        <w:t xml:space="preserve"> відповідно до Положення про експертні групи та експертну комісію з проведення державної атестації наукових установ/закладів вищої освіти, затвердженого наказом Міністерства освіти і науки України _______________ №____.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Якщо наукова установа/заклад вищо</w:t>
      </w:r>
      <w:r>
        <w:rPr>
          <w:rFonts w:ascii="Times New Roman" w:hAnsi="Times New Roman"/>
          <w:sz w:val="28"/>
          <w:szCs w:val="28"/>
        </w:rPr>
        <w:t xml:space="preserve">ї освіти прозвітували за більшу кількість впливів, ніж це передбачено у пункті 2 розділу II цієї Методики, то зайві описи з найбільшими порядковими номерами </w:t>
      </w:r>
      <w:r>
        <w:rPr>
          <w:rFonts w:ascii="Times New Roman" w:hAnsi="Times New Roman"/>
          <w:sz w:val="28"/>
        </w:rPr>
        <w:t xml:space="preserve">подання </w:t>
      </w:r>
      <w:r>
        <w:rPr>
          <w:rFonts w:ascii="Times New Roman" w:hAnsi="Times New Roman"/>
          <w:sz w:val="28"/>
          <w:szCs w:val="28"/>
        </w:rPr>
        <w:t>не оцінюються експертами.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Експерт на підставі вивчення опису впливів, поданих відповідно</w:t>
      </w:r>
      <w:r>
        <w:rPr>
          <w:rFonts w:ascii="Times New Roman" w:hAnsi="Times New Roman"/>
          <w:sz w:val="28"/>
          <w:szCs w:val="28"/>
        </w:rPr>
        <w:t xml:space="preserve"> до пункту 1 розділу II цієї Методики, формує експертну оцінку наукової установи/закладу вищої освіти за науковим напрямом.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Показники експертного оцінювання експерт вносить до Картки експертного оцінювання наукової установи/закладу вищої освіти (далі - </w:t>
      </w:r>
      <w:r>
        <w:rPr>
          <w:rFonts w:ascii="Times New Roman" w:hAnsi="Times New Roman"/>
          <w:sz w:val="28"/>
          <w:szCs w:val="28"/>
        </w:rPr>
        <w:t>Картка) згідно з додатком 6 до цієї Методики.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Експертна група за науковим напрямом розглядає Картки та готує експертний висновок щодо результатів експертного оцінювання ефективності діяльності наукової установи/закладу вищої освіти, згідно з додатком 7 </w:t>
      </w:r>
      <w:r>
        <w:rPr>
          <w:rFonts w:ascii="Times New Roman" w:hAnsi="Times New Roman"/>
          <w:sz w:val="28"/>
          <w:szCs w:val="28"/>
        </w:rPr>
        <w:t>до цієї Методики, який подається експертній комісії утвореній відповідно до Положення про експертні групи та експертну комісію з проведення державної атестації наукових установ/закладів вищої освіти, затвердженого наказом Міністерства освіти і науки Україн</w:t>
      </w:r>
      <w:r>
        <w:rPr>
          <w:rFonts w:ascii="Times New Roman" w:hAnsi="Times New Roman"/>
          <w:sz w:val="28"/>
          <w:szCs w:val="28"/>
        </w:rPr>
        <w:t>и __________ №____, для його використання під час визначення атестаційної оцінки наукової установи/закладу вищої освіти.</w:t>
      </w:r>
    </w:p>
    <w:p w:rsidR="000D5AE1" w:rsidRDefault="000D5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</w:p>
    <w:p w:rsidR="000D5AE1" w:rsidRDefault="00B61036">
      <w:pPr>
        <w:shd w:val="clear" w:color="auto" w:fill="FFFFFF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Визначення результатів державної атестації та групи наукової установи/закладу вищої освіти</w:t>
      </w:r>
    </w:p>
    <w:p w:rsidR="000D5AE1" w:rsidRDefault="000D5AE1">
      <w:pPr>
        <w:shd w:val="clear" w:color="auto" w:fill="FFFFFF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Результатом державної атестації є ви</w:t>
      </w:r>
      <w:r>
        <w:rPr>
          <w:rFonts w:ascii="Times New Roman" w:hAnsi="Times New Roman"/>
          <w:sz w:val="28"/>
          <w:szCs w:val="28"/>
        </w:rPr>
        <w:t>значення атестаційної оцінки як характеристики ефективності діяльності наукової установи/закладу вищої освіти за попередні п’ять років.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Експертна комісія у місячний строк проводить атестаційну оцінку наукової установи/закладу вищої освіти на підставі ек</w:t>
      </w:r>
      <w:r>
        <w:rPr>
          <w:rFonts w:ascii="Times New Roman" w:hAnsi="Times New Roman"/>
          <w:sz w:val="28"/>
          <w:szCs w:val="28"/>
        </w:rPr>
        <w:t>спертного висновку, поданого експертною групою та готує висновок про результат державної атестації згідно з додатком 8 до цієї Методики.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Попередня атестаційна оцінка наукової установи/закладу вищої освіти складається з класифікаційної та експертної оцін</w:t>
      </w:r>
      <w:r>
        <w:rPr>
          <w:rFonts w:ascii="Times New Roman" w:hAnsi="Times New Roman"/>
          <w:sz w:val="28"/>
          <w:szCs w:val="28"/>
        </w:rPr>
        <w:t>ки, з урахуванням коефіцієнту регіональної підтримки (</w:t>
      </w:r>
      <w:proofErr w:type="spellStart"/>
      <w:r>
        <w:rPr>
          <w:rFonts w:ascii="Times New Roman" w:hAnsi="Times New Roman"/>
          <w:sz w:val="28"/>
          <w:szCs w:val="28"/>
        </w:rPr>
        <w:t>РПі</w:t>
      </w:r>
      <w:proofErr w:type="spellEnd"/>
      <w:r>
        <w:rPr>
          <w:rFonts w:ascii="Times New Roman" w:hAnsi="Times New Roman"/>
          <w:sz w:val="28"/>
          <w:szCs w:val="28"/>
        </w:rPr>
        <w:t>), та розраховується за такою формулою:</w:t>
      </w:r>
    </w:p>
    <w:p w:rsidR="000D5AE1" w:rsidRDefault="000D5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А=(К+Е)</w:t>
      </w:r>
      <w:r>
        <w:rPr>
          <w:rFonts w:ascii="Times" w:hAnsi="Times"/>
          <w:color w:val="333333"/>
          <w:sz w:val="24"/>
          <w:highlight w:val="white"/>
          <w:shd w:val="clear" w:color="auto" w:fill="00FFFF"/>
        </w:rPr>
        <w:t>×</w:t>
      </w:r>
      <w:proofErr w:type="spellStart"/>
      <w:r>
        <w:rPr>
          <w:rFonts w:ascii="Times New Roman" w:hAnsi="Times New Roman"/>
          <w:sz w:val="28"/>
          <w:szCs w:val="28"/>
        </w:rPr>
        <w:t>РПі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 А - попередня класифікаційна оцінка;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- класифікаційна оцінка;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 - експертна оцінка;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РПі</w:t>
      </w:r>
      <w:proofErr w:type="spellEnd"/>
      <w:r>
        <w:rPr>
          <w:rFonts w:ascii="Times New Roman" w:hAnsi="Times New Roman"/>
          <w:sz w:val="28"/>
          <w:szCs w:val="28"/>
        </w:rPr>
        <w:t xml:space="preserve"> - коефіцієнт регіональної підтримки, який </w:t>
      </w:r>
      <w:r>
        <w:rPr>
          <w:rFonts w:ascii="Times New Roman" w:hAnsi="Times New Roman"/>
          <w:sz w:val="28"/>
          <w:szCs w:val="28"/>
        </w:rPr>
        <w:t>становить: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1,05 - для наукових установ/закладів вищої освіти, розташованих у Дніпропетровській, Одеській, Сумській, Чернігівській областях;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1,1 - для наукових установ/закладів вищої освіти, розташованих у Донецькій, Запорізькій, Луганській, Миколаївській, </w:t>
      </w:r>
      <w:r>
        <w:rPr>
          <w:rFonts w:ascii="Times New Roman" w:hAnsi="Times New Roman"/>
          <w:sz w:val="28"/>
          <w:szCs w:val="28"/>
        </w:rPr>
        <w:t>Харківській, Херсонській областях.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для наукових установ/закладів вищої освіти, розташованих в інших областях;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1,15 - для тимчасово переміщених наукових установ/закладів вищої освіти, що утримують матеріально-технічну базу за своєю юридичною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 xml:space="preserve"> Після визначення попередньої атестаційної оцінки отримані результати всіх наукових установ/закладів вищої освіти нормуються у відсотках до максимальної кількості набраних балів за відповідним науковим напрямом.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Експертна комісія відповідно до пункту 18</w:t>
      </w:r>
      <w:r>
        <w:rPr>
          <w:rFonts w:ascii="Times New Roman" w:hAnsi="Times New Roman"/>
          <w:sz w:val="28"/>
          <w:szCs w:val="28"/>
        </w:rPr>
        <w:t xml:space="preserve"> Порядку здійснює обрахунок атестаційної оцінки та віднесення наукової установи/закладу вищої освіти до однієї з чотирьох груп А, Б, В та Г,  для яких отримані результати знаходяться в таких межах: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групи А - від 75 до 100 %;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групи Б - від 50 до 75 % </w:t>
      </w:r>
      <w:r>
        <w:rPr>
          <w:rFonts w:ascii="Times New Roman" w:hAnsi="Times New Roman"/>
          <w:sz w:val="28"/>
          <w:szCs w:val="28"/>
        </w:rPr>
        <w:t>(включно);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групи В - від 25 до 50 % (включно);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групи Г - нижче ніж 25 % (включно). 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Група визначається одночасно для всіх наукових установ/закладів вищої освіти за відповідним науковим напрямом.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Наукові установи, віднесені до групи Г, вважаються </w:t>
      </w:r>
      <w:r>
        <w:rPr>
          <w:rFonts w:ascii="Times New Roman" w:hAnsi="Times New Roman"/>
          <w:sz w:val="28"/>
          <w:szCs w:val="28"/>
        </w:rPr>
        <w:t>такими, що не пройшли державну атестацію.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Заклади вищої освіти, які за відповідним науковим напрямом віднесені до групи Г, вважаються такими, що не пройшли за таким напрямом державну атестацію.</w:t>
      </w:r>
    </w:p>
    <w:p w:rsidR="000D5AE1" w:rsidRDefault="00B610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Науковим установам/закладам вищої освіти, що пройшли держав</w:t>
      </w:r>
      <w:r>
        <w:rPr>
          <w:rFonts w:ascii="Times New Roman" w:hAnsi="Times New Roman"/>
          <w:sz w:val="28"/>
          <w:szCs w:val="28"/>
        </w:rPr>
        <w:t>ну атестацію, МОН видає свідоцтво про державну атестацію за формою, наведеною у додатку 9 до цієї Методики.</w:t>
      </w:r>
    </w:p>
    <w:tbl>
      <w:tblPr>
        <w:tblStyle w:val="ac"/>
        <w:tblW w:w="892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885"/>
        <w:gridCol w:w="5040"/>
      </w:tblGrid>
      <w:tr w:rsidR="000D5AE1">
        <w:trPr>
          <w:trHeight w:val="825"/>
        </w:trPr>
        <w:tc>
          <w:tcPr>
            <w:tcW w:w="38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300" w:after="160"/>
              <w:ind w:left="-100"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Генеральний директор</w:t>
            </w:r>
          </w:p>
        </w:tc>
        <w:tc>
          <w:tcPr>
            <w:tcW w:w="50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300" w:after="240"/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Г. Я.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Мозолевич</w:t>
            </w:r>
            <w:proofErr w:type="spellEnd"/>
          </w:p>
        </w:tc>
      </w:tr>
    </w:tbl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p w:rsidR="000D5AE1" w:rsidRDefault="000D5AE1">
      <w:pPr>
        <w:shd w:val="clear" w:color="auto" w:fill="FFFFFF"/>
        <w:spacing w:before="160" w:after="160"/>
        <w:ind w:left="460" w:right="460" w:hanging="46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c"/>
        <w:tblW w:w="891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350"/>
      </w:tblGrid>
      <w:tr w:rsidR="000D5AE1">
        <w:trPr>
          <w:trHeight w:val="2520"/>
        </w:trPr>
        <w:tc>
          <w:tcPr>
            <w:tcW w:w="4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350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left="57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 Методики оцінювання ефективності наукової (науково-технічної) діяльності наукових </w:t>
            </w:r>
            <w:r>
              <w:rPr>
                <w:rFonts w:ascii="Times New Roman" w:hAnsi="Times New Roman"/>
                <w:sz w:val="24"/>
                <w:szCs w:val="24"/>
              </w:rPr>
              <w:t>установ та закладів вищої освіти в частині провадження такими закладами наукової (науково-технічної) діяльності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(пункт 1 розділу II)</w:t>
            </w:r>
          </w:p>
        </w:tc>
      </w:tr>
    </w:tbl>
    <w:p w:rsidR="000D5AE1" w:rsidRDefault="00B61036">
      <w:pPr>
        <w:shd w:val="clear" w:color="auto" w:fill="FFFFFF"/>
        <w:spacing w:before="160" w:after="160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  <w:r>
        <w:rPr>
          <w:rFonts w:ascii="Times New Roman" w:hAnsi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проведення державної атестації закладу вищої освіти в частині провадження наукової (науково-технічної) </w:t>
      </w:r>
      <w:r>
        <w:rPr>
          <w:rFonts w:ascii="Times New Roman" w:hAnsi="Times New Roman"/>
          <w:b/>
          <w:sz w:val="28"/>
          <w:szCs w:val="28"/>
        </w:rPr>
        <w:t>діяльності</w:t>
      </w:r>
    </w:p>
    <w:tbl>
      <w:tblPr>
        <w:tblStyle w:val="ac"/>
        <w:tblW w:w="892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0D5AE1">
        <w:trPr>
          <w:trHeight w:val="3060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left="514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 Методики оцінювання ефективності наукової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(пункт 1 розділу II)</w:t>
            </w:r>
          </w:p>
        </w:tc>
      </w:tr>
    </w:tbl>
    <w:p w:rsidR="000D5AE1" w:rsidRDefault="00B61036">
      <w:pPr>
        <w:shd w:val="clear" w:color="auto" w:fill="FFFFFF"/>
        <w:spacing w:before="160" w:after="160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  <w:r>
        <w:rPr>
          <w:rFonts w:ascii="Times New Roman" w:hAnsi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показників, за якими здійснюється оцінка результативності наукової (науково-технічної) діяльності наукової установи/закладу вищої освіти за науковим напрямом та потенціалу розвитку цього наукового напряму</w:t>
      </w:r>
    </w:p>
    <w:tbl>
      <w:tblPr>
        <w:tblStyle w:val="ac"/>
        <w:tblW w:w="892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0D5AE1">
        <w:trPr>
          <w:trHeight w:val="3060"/>
        </w:trPr>
        <w:tc>
          <w:tcPr>
            <w:tcW w:w="8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left="496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 Методики оцінювання ефективності науко</w:t>
            </w:r>
            <w:r>
              <w:rPr>
                <w:rFonts w:ascii="Times New Roman" w:hAnsi="Times New Roman"/>
                <w:sz w:val="24"/>
                <w:szCs w:val="24"/>
              </w:rPr>
              <w:t>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(пункт 1 розділу II)</w:t>
            </w:r>
          </w:p>
        </w:tc>
      </w:tr>
    </w:tbl>
    <w:p w:rsidR="000D5AE1" w:rsidRDefault="00B61036">
      <w:pPr>
        <w:shd w:val="clear" w:color="auto" w:fill="FFFFFF"/>
        <w:spacing w:before="160" w:after="160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ВІДОМОСТІ</w:t>
      </w:r>
      <w:r>
        <w:rPr>
          <w:rFonts w:ascii="Times New Roman" w:hAnsi="Times New Roman"/>
          <w:b/>
          <w:sz w:val="28"/>
          <w:szCs w:val="28"/>
        </w:rPr>
        <w:br/>
        <w:t>про наукову та науково-технічну діяльність наукової установи/закладу</w:t>
      </w:r>
      <w:r>
        <w:rPr>
          <w:rFonts w:ascii="Times New Roman" w:hAnsi="Times New Roman"/>
          <w:b/>
          <w:sz w:val="28"/>
          <w:szCs w:val="28"/>
        </w:rPr>
        <w:t xml:space="preserve"> вищої освіти за науковим напрямом</w:t>
      </w:r>
    </w:p>
    <w:tbl>
      <w:tblPr>
        <w:tblStyle w:val="ac"/>
        <w:tblW w:w="892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3780"/>
      </w:tblGrid>
      <w:tr w:rsidR="000D5AE1">
        <w:trPr>
          <w:trHeight w:val="3180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 Методики оцінювання ефективності наукової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 (пункт 1 ро</w:t>
            </w:r>
            <w:r>
              <w:rPr>
                <w:rFonts w:ascii="Times New Roman" w:hAnsi="Times New Roman"/>
                <w:sz w:val="24"/>
                <w:szCs w:val="24"/>
              </w:rPr>
              <w:t>зділу II)</w:t>
            </w:r>
          </w:p>
        </w:tc>
      </w:tr>
    </w:tbl>
    <w:p w:rsidR="000D5AE1" w:rsidRDefault="00B61036">
      <w:pPr>
        <w:shd w:val="clear" w:color="auto" w:fill="FFFFFF"/>
        <w:spacing w:before="160" w:after="160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 ВПЛИВУ</w:t>
      </w:r>
      <w:r>
        <w:rPr>
          <w:rFonts w:ascii="Times New Roman" w:hAnsi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результатів діяльності наукової установи/закладу вищої освіти на розвиток науки, суспільства та економіки</w:t>
      </w:r>
    </w:p>
    <w:tbl>
      <w:tblPr>
        <w:tblStyle w:val="ac"/>
        <w:tblW w:w="892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3780"/>
      </w:tblGrid>
      <w:tr w:rsidR="000D5AE1">
        <w:trPr>
          <w:trHeight w:val="2745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 Методики оцінювання ефективності наукової (науково-технічної) діяльності наукових установ та закладів вищої </w:t>
            </w:r>
            <w:r>
              <w:rPr>
                <w:rFonts w:ascii="Times New Roman" w:hAnsi="Times New Roman"/>
                <w:sz w:val="24"/>
                <w:szCs w:val="24"/>
              </w:rPr>
              <w:t>освіти в частині провадження такими закладами наукової (науково-технічної) діяльності (пункт 1 розділу II)</w:t>
            </w:r>
          </w:p>
        </w:tc>
      </w:tr>
    </w:tbl>
    <w:p w:rsidR="000D5AE1" w:rsidRDefault="00B61036">
      <w:pPr>
        <w:shd w:val="clear" w:color="auto" w:fill="FFFFFF"/>
        <w:spacing w:before="160" w:after="160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ПИТОМІ ПОКАЗНИКИ РЕЗУЛЬТАТИВНОСТІ (ІНДИКАТОРИ),</w:t>
      </w:r>
      <w:r>
        <w:rPr>
          <w:rFonts w:ascii="Times New Roman" w:hAnsi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якими здійснюється розрахунок атестаційної оцінки за науковим напрямом</w:t>
      </w:r>
    </w:p>
    <w:tbl>
      <w:tblPr>
        <w:tblStyle w:val="ac"/>
        <w:tblW w:w="891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365"/>
      </w:tblGrid>
      <w:tr w:rsidR="000D5AE1">
        <w:trPr>
          <w:trHeight w:val="2790"/>
        </w:trPr>
        <w:tc>
          <w:tcPr>
            <w:tcW w:w="45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left="42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6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 Методики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оцінювання наукових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напрямів закладів вищої освіти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під час проведення державної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атестації закладів вищої освіти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частині провадження ними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наукової (науково-технічної)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діяльності (пункт 5 розділу IV)</w:t>
            </w:r>
          </w:p>
        </w:tc>
      </w:tr>
    </w:tbl>
    <w:p w:rsidR="000D5AE1" w:rsidRDefault="00B61036">
      <w:pPr>
        <w:shd w:val="clear" w:color="auto" w:fill="FFFFFF"/>
        <w:spacing w:before="160" w:after="160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КАРТКА ЕКСПЕРТНОГО ОЦІНЮВАННЯ</w:t>
      </w:r>
      <w:r>
        <w:rPr>
          <w:rFonts w:ascii="Times New Roman" w:hAnsi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закладу вищої </w:t>
      </w:r>
      <w:r>
        <w:rPr>
          <w:rFonts w:ascii="Times New Roman" w:hAnsi="Times New Roman"/>
          <w:b/>
          <w:sz w:val="28"/>
          <w:szCs w:val="28"/>
        </w:rPr>
        <w:t>освіти/наукової установи</w:t>
      </w:r>
    </w:p>
    <w:p w:rsidR="000D5AE1" w:rsidRDefault="00B61036">
      <w:pPr>
        <w:shd w:val="clear" w:color="auto" w:fill="FFFFFF"/>
        <w:ind w:left="5103" w:right="45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7</w:t>
      </w:r>
    </w:p>
    <w:p w:rsidR="000D5AE1" w:rsidRDefault="00B61036">
      <w:pPr>
        <w:shd w:val="clear" w:color="auto" w:fill="FFFFFF"/>
        <w:ind w:left="5103" w:right="45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Методики оцінювання ефективності  наукової, науково-технічної та інноваційної діяльності наукової </w:t>
      </w:r>
      <w:r>
        <w:rPr>
          <w:rFonts w:ascii="Times New Roman" w:hAnsi="Times New Roman"/>
          <w:sz w:val="24"/>
          <w:szCs w:val="24"/>
        </w:rPr>
        <w:lastRenderedPageBreak/>
        <w:t>установи/закладу вищої освіти</w:t>
      </w:r>
      <w:r>
        <w:rPr>
          <w:rFonts w:ascii="Times New Roman" w:hAnsi="Times New Roman"/>
          <w:sz w:val="24"/>
          <w:szCs w:val="24"/>
        </w:rPr>
        <w:br/>
        <w:t>пункт 6 розділу IV)</w:t>
      </w:r>
    </w:p>
    <w:p w:rsidR="000D5AE1" w:rsidRDefault="00B61036">
      <w:pPr>
        <w:shd w:val="clear" w:color="auto" w:fill="FFFFFF"/>
        <w:spacing w:before="400" w:after="120" w:line="254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/>
          <w:sz w:val="24"/>
          <w:szCs w:val="24"/>
        </w:rPr>
        <w:t>ЕКСПЕРТНИЙ ВИСНОВОК</w:t>
      </w:r>
      <w:r>
        <w:rPr>
          <w:rFonts w:ascii="Times New Roman" w:hAnsi="Times New Roman"/>
          <w:b/>
          <w:smallCaps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щодо результатів експертного оцінювання</w:t>
      </w:r>
      <w:r>
        <w:rPr>
          <w:rFonts w:ascii="Times New Roman" w:hAnsi="Times New Roman"/>
          <w:b/>
          <w:sz w:val="28"/>
          <w:szCs w:val="28"/>
        </w:rPr>
        <w:br/>
        <w:t xml:space="preserve">  ефекти</w:t>
      </w:r>
      <w:r>
        <w:rPr>
          <w:rFonts w:ascii="Times New Roman" w:hAnsi="Times New Roman"/>
          <w:b/>
          <w:sz w:val="28"/>
          <w:szCs w:val="28"/>
        </w:rPr>
        <w:t>вності діяльності наукової установи/закладу вищої освіти</w:t>
      </w:r>
    </w:p>
    <w:tbl>
      <w:tblPr>
        <w:tblStyle w:val="ac"/>
        <w:tblW w:w="891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0D5AE1">
        <w:trPr>
          <w:trHeight w:val="2250"/>
        </w:trPr>
        <w:tc>
          <w:tcPr>
            <w:tcW w:w="8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left="510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 Методики оцінювання ефективності наукової, науково-технічної та інноваційної діяльності наукової установи/закладу вищої освіти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(пункт 3 розділу III)</w:t>
            </w:r>
          </w:p>
        </w:tc>
      </w:tr>
    </w:tbl>
    <w:p w:rsidR="000D5AE1" w:rsidRDefault="00B61036">
      <w:pPr>
        <w:shd w:val="clear" w:color="auto" w:fill="FFFFFF"/>
        <w:spacing w:before="160" w:after="160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ВИСНОВОК</w:t>
      </w:r>
      <w:r>
        <w:rPr>
          <w:rFonts w:ascii="Times New Roman" w:hAnsi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 результат державної </w:t>
      </w:r>
      <w:r>
        <w:rPr>
          <w:rFonts w:ascii="Times New Roman" w:hAnsi="Times New Roman"/>
          <w:b/>
          <w:sz w:val="28"/>
          <w:szCs w:val="28"/>
        </w:rPr>
        <w:t>атестації наукової установи/закладу вищої освіти</w:t>
      </w:r>
    </w:p>
    <w:tbl>
      <w:tblPr>
        <w:tblStyle w:val="ac"/>
        <w:tblW w:w="891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0D5AE1">
        <w:trPr>
          <w:trHeight w:val="2250"/>
        </w:trPr>
        <w:tc>
          <w:tcPr>
            <w:tcW w:w="89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D5AE1" w:rsidRDefault="00B61036">
            <w:pPr>
              <w:shd w:val="clear" w:color="auto" w:fill="FFFFFF"/>
              <w:spacing w:before="160" w:after="160"/>
              <w:ind w:left="510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Додаток 9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 Методики оцінювання ефективності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наукової, науково-технічної та інноваційної діяльності наукової установи/закладу вищої освіти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(пункт 7 розділу IV)</w:t>
            </w:r>
          </w:p>
        </w:tc>
      </w:tr>
    </w:tbl>
    <w:p w:rsidR="000D5AE1" w:rsidRDefault="00B61036">
      <w:pPr>
        <w:shd w:val="clear" w:color="auto" w:fill="FFFFFF"/>
        <w:spacing w:before="160" w:after="160"/>
        <w:ind w:left="460" w:right="46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СВІДОЦТВО</w:t>
      </w:r>
      <w:r>
        <w:rPr>
          <w:rFonts w:ascii="Times New Roman" w:hAnsi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 державну атестацію наукової </w:t>
      </w:r>
      <w:r>
        <w:rPr>
          <w:rFonts w:ascii="Times New Roman" w:hAnsi="Times New Roman"/>
          <w:b/>
          <w:sz w:val="28"/>
          <w:szCs w:val="28"/>
        </w:rPr>
        <w:t>установи/закладу вищої освіти</w:t>
      </w:r>
    </w:p>
    <w:p w:rsidR="000D5AE1" w:rsidRDefault="000D5AE1">
      <w:pPr>
        <w:shd w:val="clear" w:color="auto" w:fill="FFFFFF"/>
        <w:spacing w:before="160" w:after="160"/>
        <w:ind w:left="460" w:right="460" w:firstLine="0"/>
        <w:jc w:val="left"/>
        <w:rPr>
          <w:rFonts w:ascii="Times New Roman" w:hAnsi="Times New Roman"/>
          <w:sz w:val="26"/>
          <w:szCs w:val="26"/>
        </w:rPr>
      </w:pPr>
    </w:p>
    <w:sectPr w:rsidR="000D5AE1">
      <w:pgSz w:w="11906" w:h="16838"/>
      <w:pgMar w:top="1134" w:right="567" w:bottom="2127" w:left="1701" w:header="709" w:footer="709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ragmatica Bold">
    <w:panose1 w:val="00000000000000000000"/>
    <w:charset w:val="00"/>
    <w:family w:val="roman"/>
    <w:notTrueType/>
    <w:pitch w:val="default"/>
  </w:font>
  <w:font w:name="Pragmatica Book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E1"/>
    <w:rsid w:val="000D5AE1"/>
    <w:rsid w:val="00876841"/>
    <w:rsid w:val="00B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A2E1"/>
  <w15:docId w15:val="{E5A324DF-9913-4297-8666-D07B53AE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4">
    <w:name w:val="rvps4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7">
    <w:name w:val="rvps7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5">
    <w:name w:val="rvps15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1">
    <w:name w:val="rvps11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8">
    <w:name w:val="rvps8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semiHidden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2">
    <w:name w:val="rvps12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h6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ind w:firstLine="0"/>
      <w:jc w:val="center"/>
    </w:pPr>
    <w:rPr>
      <w:rFonts w:ascii="Pragmatica Bold" w:hAnsi="Pragmatica Bold"/>
      <w:b/>
      <w:bCs/>
      <w:color w:val="000000"/>
      <w:w w:val="90"/>
      <w:sz w:val="19"/>
      <w:szCs w:val="19"/>
    </w:rPr>
  </w:style>
  <w:style w:type="paragraph" w:customStyle="1" w:styleId="Ch60">
    <w:name w:val="Организация (Ch_6 Міністерства)"/>
    <w:basedOn w:val="a"/>
    <w:next w:val="a"/>
    <w:pPr>
      <w:keepNext/>
      <w:keepLines/>
      <w:widowControl w:val="0"/>
      <w:tabs>
        <w:tab w:val="right" w:pos="6350"/>
      </w:tabs>
      <w:spacing w:line="276" w:lineRule="auto"/>
      <w:ind w:firstLine="0"/>
      <w:jc w:val="center"/>
    </w:pPr>
    <w:rPr>
      <w:rFonts w:ascii="Pragmatica Bold" w:hAnsi="Pragmatica Bold"/>
      <w:b/>
      <w:bCs/>
      <w:caps/>
      <w:color w:val="000000"/>
      <w:w w:val="90"/>
      <w:sz w:val="24"/>
      <w:szCs w:val="24"/>
    </w:rPr>
  </w:style>
  <w:style w:type="paragraph" w:customStyle="1" w:styleId="Ch61">
    <w:name w:val="Основной текст (Ch_6 Міністерства)"/>
    <w:basedOn w:val="a"/>
    <w:pPr>
      <w:widowControl w:val="0"/>
      <w:tabs>
        <w:tab w:val="right" w:pos="7710"/>
        <w:tab w:val="right" w:pos="11514"/>
      </w:tabs>
      <w:spacing w:line="257" w:lineRule="auto"/>
      <w:ind w:firstLine="283"/>
    </w:pPr>
    <w:rPr>
      <w:rFonts w:ascii="Pragmatica Book" w:hAnsi="Pragmatica Book"/>
      <w:color w:val="000000"/>
      <w:w w:val="90"/>
      <w:sz w:val="18"/>
      <w:szCs w:val="18"/>
    </w:rPr>
  </w:style>
  <w:style w:type="paragraph" w:customStyle="1" w:styleId="Ch62">
    <w:name w:val="Основной текст (без абзаца) (Ch_6 Міністерства)"/>
    <w:basedOn w:val="Ch6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pPr>
      <w:widowControl w:val="0"/>
      <w:tabs>
        <w:tab w:val="right" w:pos="7710"/>
      </w:tabs>
      <w:spacing w:before="17" w:line="257" w:lineRule="auto"/>
      <w:ind w:firstLine="0"/>
      <w:jc w:val="center"/>
    </w:pPr>
    <w:rPr>
      <w:rFonts w:ascii="Pragmatica Book" w:hAnsi="Pragmatica Book"/>
      <w:color w:val="000000"/>
      <w:w w:val="90"/>
      <w:sz w:val="14"/>
      <w:szCs w:val="14"/>
    </w:rPr>
  </w:style>
  <w:style w:type="paragraph" w:styleId="a5">
    <w:name w:val="Balloon Text"/>
    <w:basedOn w:val="a"/>
    <w:link w:val="a6"/>
    <w:semiHidden/>
    <w:rPr>
      <w:rFonts w:ascii="Segoe UI" w:hAnsi="Segoe UI"/>
      <w:sz w:val="18"/>
      <w:szCs w:val="18"/>
    </w:rPr>
  </w:style>
  <w:style w:type="paragraph" w:customStyle="1" w:styleId="Ch63">
    <w:name w:val="Додаток №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397" w:line="257" w:lineRule="auto"/>
      <w:ind w:left="3969" w:firstLine="0"/>
      <w:jc w:val="left"/>
    </w:pPr>
    <w:rPr>
      <w:rFonts w:ascii="Pragmatica Book" w:hAnsi="Pragmatica Book"/>
      <w:color w:val="000000"/>
      <w:w w:val="90"/>
      <w:sz w:val="17"/>
      <w:szCs w:val="17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8">
    <w:name w:val="No Spacing"/>
    <w:qFormat/>
    <w:pPr>
      <w:ind w:firstLine="0"/>
      <w:jc w:val="left"/>
    </w:pPr>
    <w:rPr>
      <w:lang w:eastAsia="en-US"/>
    </w:rPr>
  </w:style>
  <w:style w:type="character" w:styleId="a9">
    <w:name w:val="line number"/>
    <w:basedOn w:val="a0"/>
    <w:semiHidden/>
  </w:style>
  <w:style w:type="character" w:styleId="aa">
    <w:name w:val="Hyperlink"/>
    <w:basedOn w:val="a0"/>
    <w:semiHidden/>
    <w:rPr>
      <w:color w:val="0000FF"/>
      <w:u w:val="single"/>
    </w:rPr>
  </w:style>
  <w:style w:type="character" w:customStyle="1" w:styleId="mr-auto">
    <w:name w:val="mr-auto"/>
    <w:basedOn w:val="a0"/>
  </w:style>
  <w:style w:type="character" w:styleId="ab">
    <w:name w:val="FollowedHyperlink"/>
    <w:basedOn w:val="a0"/>
    <w:semiHidden/>
    <w:rPr>
      <w:color w:val="800080"/>
      <w:u w:val="single"/>
    </w:rPr>
  </w:style>
  <w:style w:type="character" w:customStyle="1" w:styleId="btn-group">
    <w:name w:val="btn-group"/>
    <w:basedOn w:val="a0"/>
  </w:style>
  <w:style w:type="character" w:customStyle="1" w:styleId="d-none">
    <w:name w:val="d-none"/>
    <w:basedOn w:val="a0"/>
  </w:style>
  <w:style w:type="character" w:styleId="HTML">
    <w:name w:val="HTML Keyboard"/>
    <w:basedOn w:val="a0"/>
    <w:semiHidden/>
    <w:rPr>
      <w:rFonts w:ascii="Courier New" w:hAnsi="Courier New"/>
      <w:sz w:val="20"/>
      <w:szCs w:val="20"/>
    </w:rPr>
  </w:style>
  <w:style w:type="character" w:customStyle="1" w:styleId="rvts0">
    <w:name w:val="rvts0"/>
    <w:basedOn w:val="a0"/>
  </w:style>
  <w:style w:type="character" w:customStyle="1" w:styleId="rvts15">
    <w:name w:val="rvts15"/>
    <w:basedOn w:val="a0"/>
  </w:style>
  <w:style w:type="character" w:customStyle="1" w:styleId="rvts23">
    <w:name w:val="rvts23"/>
    <w:basedOn w:val="a0"/>
  </w:style>
  <w:style w:type="character" w:customStyle="1" w:styleId="rvts9">
    <w:name w:val="rvts9"/>
    <w:basedOn w:val="a0"/>
  </w:style>
  <w:style w:type="character" w:customStyle="1" w:styleId="rvts52">
    <w:name w:val="rvts52"/>
    <w:basedOn w:val="a0"/>
  </w:style>
  <w:style w:type="character" w:customStyle="1" w:styleId="rvts44">
    <w:name w:val="rvts44"/>
    <w:basedOn w:val="a0"/>
  </w:style>
  <w:style w:type="character" w:customStyle="1" w:styleId="rvts40">
    <w:name w:val="rvts40"/>
    <w:basedOn w:val="a0"/>
  </w:style>
  <w:style w:type="character" w:customStyle="1" w:styleId="rvts37">
    <w:name w:val="rvts37"/>
    <w:basedOn w:val="a0"/>
  </w:style>
  <w:style w:type="character" w:customStyle="1" w:styleId="rvts48">
    <w:name w:val="rvts48"/>
    <w:basedOn w:val="a0"/>
  </w:style>
  <w:style w:type="character" w:customStyle="1" w:styleId="rvts58">
    <w:name w:val="rvts58"/>
    <w:basedOn w:val="a0"/>
  </w:style>
  <w:style w:type="character" w:customStyle="1" w:styleId="rvts82">
    <w:name w:val="rvts82"/>
    <w:basedOn w:val="a0"/>
  </w:style>
  <w:style w:type="character" w:customStyle="1" w:styleId="rvts46">
    <w:name w:val="rvts46"/>
    <w:basedOn w:val="a0"/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  <w:szCs w:val="18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>
    <w:name w:val="Table Grid"/>
    <w:basedOn w:val="a1"/>
    <w:pPr>
      <w:ind w:firstLine="0"/>
      <w:jc w:val="lef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011-01" TargetMode="External"/><Relationship Id="rId13" Type="http://schemas.openxmlformats.org/officeDocument/2006/relationships/hyperlink" Target="https://zakon.rada.gov.ua/laws/show/652-2018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89-19" TargetMode="External"/><Relationship Id="rId12" Type="http://schemas.openxmlformats.org/officeDocument/2006/relationships/hyperlink" Target="https://zakon.rada.gov.ua/laws/show/1700-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540-2017-%D0%BF" TargetMode="External"/><Relationship Id="rId11" Type="http://schemas.openxmlformats.org/officeDocument/2006/relationships/hyperlink" Target="https://zakon.rada.gov.ua/laws/show/1556-1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akon.rada.gov.ua/laws/show/z0688-19/print" TargetMode="External"/><Relationship Id="rId10" Type="http://schemas.openxmlformats.org/officeDocument/2006/relationships/hyperlink" Target="https://zakon.rada.gov.ua/laws/show/848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011-01" TargetMode="External"/><Relationship Id="rId14" Type="http://schemas.openxmlformats.org/officeDocument/2006/relationships/hyperlink" Target="https://zakon.rada.gov.ua/laws/show/z0688-19/prin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W/4N8gp+kTrxRWx2kQDuMFBgCw==">CgMxLjA4AHIhMW5BVzdzNWt2R1dmcm5HVnVUX1oxUlFSNVllVEMyVzBx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11603</Words>
  <Characters>6614</Characters>
  <Application>Microsoft Office Word</Application>
  <DocSecurity>0</DocSecurity>
  <Lines>55</Lines>
  <Paragraphs>36</Paragraphs>
  <ScaleCrop>false</ScaleCrop>
  <Company>SPecialiST RePack</Company>
  <LinksUpToDate>false</LinksUpToDate>
  <CharactersWithSpaces>18181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Zuieva K.</dc:creator>
  <cp:lastModifiedBy>user</cp:lastModifiedBy>
  <cp:revision>7</cp:revision>
  <dcterms:created xsi:type="dcterms:W3CDTF">2024-03-13T09:20:00Z</dcterms:created>
  <dcterms:modified xsi:type="dcterms:W3CDTF">2024-04-18T11:35:00Z</dcterms:modified>
</cp:coreProperties>
</file>